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A65E20" w:rsidRPr="00492055" w14:paraId="3567B771" w14:textId="77777777" w:rsidTr="00492055">
        <w:tc>
          <w:tcPr>
            <w:tcW w:w="9606" w:type="dxa"/>
            <w:tcBorders>
              <w:bottom w:val="single" w:sz="8" w:space="0" w:color="auto"/>
            </w:tcBorders>
          </w:tcPr>
          <w:p w14:paraId="3EE013E3" w14:textId="77777777" w:rsidR="00A65E20" w:rsidRPr="00492055" w:rsidRDefault="00A65E20" w:rsidP="00492055">
            <w:pPr>
              <w:pStyle w:val="berschrift1"/>
              <w:ind w:right="-573"/>
              <w:jc w:val="left"/>
              <w:rPr>
                <w:b w:val="0"/>
                <w:caps/>
                <w:sz w:val="32"/>
                <w:szCs w:val="32"/>
                <w:lang w:val="fr-CH"/>
              </w:rPr>
            </w:pPr>
            <w:r w:rsidRPr="00492055">
              <w:rPr>
                <w:b w:val="0"/>
                <w:caps/>
                <w:sz w:val="32"/>
                <w:szCs w:val="32"/>
                <w:lang w:val="fr-CH"/>
              </w:rPr>
              <w:t>Commune de</w:t>
            </w:r>
            <w:r w:rsidR="004B3CA1" w:rsidRPr="00492055">
              <w:rPr>
                <w:b w:val="0"/>
                <w:caps/>
                <w:sz w:val="32"/>
                <w:szCs w:val="32"/>
                <w:lang w:val="fr-CH"/>
              </w:rPr>
              <w:t xml:space="preserve"> </w:t>
            </w:r>
            <w:r w:rsidRPr="00492055">
              <w:rPr>
                <w:b w:val="0"/>
                <w:caps/>
                <w:sz w:val="32"/>
                <w:szCs w:val="32"/>
                <w:lang w:val="fr-CH"/>
              </w:rPr>
              <w:t>:</w:t>
            </w:r>
          </w:p>
        </w:tc>
      </w:tr>
    </w:tbl>
    <w:p w14:paraId="66F54AEE" w14:textId="77777777" w:rsidR="00FC12A5" w:rsidRDefault="00FC12A5" w:rsidP="00A65E20">
      <w:pPr>
        <w:jc w:val="left"/>
        <w:sectPr w:rsidR="00FC12A5" w:rsidSect="00BC3D34">
          <w:headerReference w:type="even" r:id="rId7"/>
          <w:headerReference w:type="default" r:id="rId8"/>
          <w:footerReference w:type="default" r:id="rId9"/>
          <w:footerReference w:type="first" r:id="rId10"/>
          <w:pgSz w:w="11907" w:h="16840" w:code="9"/>
          <w:pgMar w:top="1418" w:right="1134" w:bottom="709" w:left="1418" w:header="1134" w:footer="476" w:gutter="0"/>
          <w:cols w:space="720"/>
          <w:noEndnote/>
          <w:titlePg/>
        </w:sect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801"/>
        <w:gridCol w:w="236"/>
        <w:gridCol w:w="7569"/>
      </w:tblGrid>
      <w:tr w:rsidR="00A65E20" w14:paraId="1A736C66" w14:textId="77777777" w:rsidTr="00492055">
        <w:tc>
          <w:tcPr>
            <w:tcW w:w="1801" w:type="dxa"/>
            <w:tcBorders>
              <w:top w:val="single" w:sz="8" w:space="0" w:color="auto"/>
            </w:tcBorders>
          </w:tcPr>
          <w:p w14:paraId="6B488757" w14:textId="77777777" w:rsidR="00A65E20" w:rsidRDefault="00A65E20" w:rsidP="00492055">
            <w:pPr>
              <w:jc w:val="left"/>
            </w:pPr>
          </w:p>
        </w:tc>
        <w:tc>
          <w:tcPr>
            <w:tcW w:w="236" w:type="dxa"/>
            <w:tcBorders>
              <w:top w:val="single" w:sz="8" w:space="0" w:color="auto"/>
            </w:tcBorders>
          </w:tcPr>
          <w:p w14:paraId="587D109C" w14:textId="77777777" w:rsidR="00A65E20" w:rsidRDefault="00A65E20" w:rsidP="00D84A94"/>
        </w:tc>
        <w:tc>
          <w:tcPr>
            <w:tcW w:w="7569" w:type="dxa"/>
            <w:tcBorders>
              <w:top w:val="single" w:sz="8" w:space="0" w:color="auto"/>
            </w:tcBorders>
          </w:tcPr>
          <w:p w14:paraId="50F32230" w14:textId="77777777" w:rsidR="00A65E20" w:rsidRPr="00492055" w:rsidRDefault="00A65E20" w:rsidP="004E1E86">
            <w:pPr>
              <w:pStyle w:val="berschrift1"/>
              <w:spacing w:before="560"/>
              <w:ind w:right="176"/>
              <w:jc w:val="left"/>
              <w:rPr>
                <w:caps/>
                <w:sz w:val="22"/>
                <w:szCs w:val="22"/>
                <w:lang w:val="fr-CH"/>
              </w:rPr>
            </w:pPr>
            <w:r w:rsidRPr="00492055">
              <w:rPr>
                <w:caps/>
                <w:sz w:val="22"/>
                <w:szCs w:val="22"/>
                <w:lang w:val="fr-FR"/>
              </w:rPr>
              <w:t>Règlement</w:t>
            </w:r>
            <w:r w:rsidR="00870A84" w:rsidRPr="00492055">
              <w:rPr>
                <w:caps/>
                <w:sz w:val="22"/>
                <w:szCs w:val="22"/>
                <w:lang w:val="fr-FR"/>
              </w:rPr>
              <w:t xml:space="preserve"> </w:t>
            </w:r>
            <w:r w:rsidR="00D82836" w:rsidRPr="00492055">
              <w:rPr>
                <w:caps/>
                <w:sz w:val="22"/>
                <w:szCs w:val="22"/>
                <w:lang w:val="fr-FR"/>
              </w:rPr>
              <w:t xml:space="preserve">SUR </w:t>
            </w:r>
            <w:r w:rsidRPr="00492055">
              <w:rPr>
                <w:caps/>
                <w:sz w:val="22"/>
                <w:szCs w:val="22"/>
                <w:lang w:val="fr-FR"/>
              </w:rPr>
              <w:t>les émoluments et les contributions de remplacement en matière d’aménagement du territoire et de constructions</w:t>
            </w:r>
          </w:p>
        </w:tc>
      </w:tr>
      <w:tr w:rsidR="00A65E20" w14:paraId="53C5AFD9" w14:textId="77777777" w:rsidTr="000A7953">
        <w:trPr>
          <w:trHeight w:val="968"/>
        </w:trPr>
        <w:tc>
          <w:tcPr>
            <w:tcW w:w="1801" w:type="dxa"/>
          </w:tcPr>
          <w:p w14:paraId="59123A2D" w14:textId="77777777" w:rsidR="00A65E20" w:rsidRDefault="00A65E20" w:rsidP="00492055">
            <w:pPr>
              <w:jc w:val="left"/>
            </w:pPr>
          </w:p>
        </w:tc>
        <w:tc>
          <w:tcPr>
            <w:tcW w:w="236" w:type="dxa"/>
          </w:tcPr>
          <w:p w14:paraId="2B4EC83C" w14:textId="77777777" w:rsidR="00A65E20" w:rsidRDefault="00A65E20" w:rsidP="00D84A94"/>
        </w:tc>
        <w:tc>
          <w:tcPr>
            <w:tcW w:w="7569" w:type="dxa"/>
          </w:tcPr>
          <w:p w14:paraId="08647141" w14:textId="77777777" w:rsidR="00A65E20" w:rsidRPr="00492055" w:rsidRDefault="00870A84" w:rsidP="004E1E86">
            <w:pPr>
              <w:pStyle w:val="berschrift1"/>
              <w:spacing w:before="440" w:after="440"/>
              <w:jc w:val="left"/>
              <w:rPr>
                <w:b w:val="0"/>
                <w:sz w:val="22"/>
                <w:szCs w:val="22"/>
                <w:lang w:val="fr-CH"/>
              </w:rPr>
            </w:pPr>
            <w:r w:rsidRPr="00492055">
              <w:rPr>
                <w:b w:val="0"/>
                <w:sz w:val="22"/>
                <w:szCs w:val="22"/>
                <w:lang w:val="fr-CH"/>
              </w:rPr>
              <w:t>L'assemblée communale</w:t>
            </w:r>
            <w:r w:rsidR="00E02024" w:rsidRPr="00492055">
              <w:rPr>
                <w:b w:val="0"/>
                <w:sz w:val="22"/>
                <w:szCs w:val="22"/>
                <w:lang w:val="fr-CH"/>
              </w:rPr>
              <w:t xml:space="preserve"> / le conseil général</w:t>
            </w:r>
          </w:p>
          <w:p w14:paraId="10597AB8" w14:textId="77777777" w:rsidR="00A65E20" w:rsidRPr="000A7953" w:rsidRDefault="00A65E20" w:rsidP="004E1E86">
            <w:pPr>
              <w:spacing w:after="440"/>
              <w:ind w:right="176"/>
              <w:jc w:val="left"/>
              <w:rPr>
                <w:sz w:val="2"/>
                <w:szCs w:val="2"/>
                <w:lang w:val="fr-CH"/>
              </w:rPr>
            </w:pPr>
          </w:p>
        </w:tc>
      </w:tr>
      <w:tr w:rsidR="00A65E20" w14:paraId="278A4B41" w14:textId="77777777" w:rsidTr="00492055">
        <w:tc>
          <w:tcPr>
            <w:tcW w:w="1801" w:type="dxa"/>
          </w:tcPr>
          <w:p w14:paraId="61F7EADA" w14:textId="77777777" w:rsidR="00A65E20" w:rsidRDefault="00A65E20" w:rsidP="00492055">
            <w:pPr>
              <w:jc w:val="left"/>
            </w:pPr>
          </w:p>
        </w:tc>
        <w:tc>
          <w:tcPr>
            <w:tcW w:w="236" w:type="dxa"/>
          </w:tcPr>
          <w:p w14:paraId="7EF990EC" w14:textId="77777777" w:rsidR="00A65E20" w:rsidRDefault="00A65E20" w:rsidP="00D84A94"/>
        </w:tc>
        <w:tc>
          <w:tcPr>
            <w:tcW w:w="7569" w:type="dxa"/>
          </w:tcPr>
          <w:p w14:paraId="0976D1A9" w14:textId="71BCB256" w:rsidR="00A65E20" w:rsidRPr="00256F71" w:rsidRDefault="00A65E20" w:rsidP="004E1E86">
            <w:pPr>
              <w:spacing w:after="120"/>
              <w:ind w:left="284" w:right="176" w:hanging="284"/>
              <w:jc w:val="left"/>
              <w:rPr>
                <w:lang w:val="fr-CH"/>
              </w:rPr>
            </w:pPr>
            <w:r w:rsidRPr="00256F71">
              <w:rPr>
                <w:lang w:val="fr-CH"/>
              </w:rPr>
              <w:t>-</w:t>
            </w:r>
            <w:r w:rsidRPr="00256F71">
              <w:rPr>
                <w:lang w:val="fr-CH"/>
              </w:rPr>
              <w:tab/>
            </w:r>
            <w:r w:rsidR="00E02024" w:rsidRPr="00256F71">
              <w:rPr>
                <w:lang w:val="fr-CH"/>
              </w:rPr>
              <w:t>Vu</w:t>
            </w:r>
            <w:r w:rsidR="00DD78C1" w:rsidRPr="00256F71">
              <w:rPr>
                <w:lang w:val="fr-CH"/>
              </w:rPr>
              <w:t xml:space="preserve"> les articles 61 et 135a al. 3 de</w:t>
            </w:r>
            <w:r w:rsidR="00E02024" w:rsidRPr="00256F71">
              <w:rPr>
                <w:lang w:val="fr-CH"/>
              </w:rPr>
              <w:t xml:space="preserve"> </w:t>
            </w:r>
            <w:r w:rsidRPr="00256F71">
              <w:rPr>
                <w:lang w:val="fr-CH"/>
              </w:rPr>
              <w:t>la loi du 2 décembre 2008 sur l'aménagement du territoire et les constructions (</w:t>
            </w:r>
            <w:proofErr w:type="spellStart"/>
            <w:r w:rsidRPr="00256F71">
              <w:rPr>
                <w:lang w:val="fr-CH"/>
              </w:rPr>
              <w:t>LATeC</w:t>
            </w:r>
            <w:proofErr w:type="spellEnd"/>
            <w:r w:rsidRPr="00256F71">
              <w:rPr>
                <w:lang w:val="fr-CH"/>
              </w:rPr>
              <w:t>; RSF 710.1);</w:t>
            </w:r>
          </w:p>
          <w:p w14:paraId="15F9B465" w14:textId="4F25848B" w:rsidR="00C67E27" w:rsidRPr="00492055" w:rsidRDefault="00E534BC" w:rsidP="00DD78C1">
            <w:pPr>
              <w:pStyle w:val="Textkrper-Zeileneinzug"/>
              <w:spacing w:after="120"/>
              <w:ind w:right="176"/>
              <w:jc w:val="left"/>
              <w:rPr>
                <w:lang w:val="fr-FR"/>
              </w:rPr>
            </w:pPr>
            <w:r w:rsidRPr="00256F71">
              <w:rPr>
                <w:lang w:val="fr-CH"/>
              </w:rPr>
              <w:t>-</w:t>
            </w:r>
            <w:r w:rsidRPr="00256F71">
              <w:rPr>
                <w:lang w:val="fr-CH"/>
              </w:rPr>
              <w:tab/>
              <w:t xml:space="preserve">Vu </w:t>
            </w:r>
            <w:r w:rsidR="00DD78C1" w:rsidRPr="00256F71">
              <w:rPr>
                <w:lang w:val="fr-CH"/>
              </w:rPr>
              <w:t xml:space="preserve">l’article 42 al. 4 de </w:t>
            </w:r>
            <w:r w:rsidRPr="00256F71">
              <w:rPr>
                <w:lang w:val="fr-CH"/>
              </w:rPr>
              <w:t>la loi du 9 septembre 2016 sur l’assurance immobilière, la prévention et les secours en matière de feu et d’éléments naturels (LECAB; RSF 732.1.1)</w:t>
            </w:r>
            <w:r w:rsidR="00DD78C1" w:rsidRPr="00256F71">
              <w:rPr>
                <w:lang w:val="fr-CH"/>
              </w:rPr>
              <w:t>,</w:t>
            </w:r>
          </w:p>
        </w:tc>
      </w:tr>
      <w:tr w:rsidR="00A65E20" w14:paraId="4FB7C8CE" w14:textId="77777777" w:rsidTr="00492055">
        <w:tc>
          <w:tcPr>
            <w:tcW w:w="1801" w:type="dxa"/>
          </w:tcPr>
          <w:p w14:paraId="7F75B7CE" w14:textId="77777777" w:rsidR="00A65E20" w:rsidRDefault="00A65E20" w:rsidP="00492055">
            <w:pPr>
              <w:jc w:val="left"/>
            </w:pPr>
          </w:p>
        </w:tc>
        <w:tc>
          <w:tcPr>
            <w:tcW w:w="236" w:type="dxa"/>
          </w:tcPr>
          <w:p w14:paraId="621946B4" w14:textId="77777777" w:rsidR="00A65E20" w:rsidRDefault="00A65E20" w:rsidP="00D84A94"/>
        </w:tc>
        <w:tc>
          <w:tcPr>
            <w:tcW w:w="7569" w:type="dxa"/>
          </w:tcPr>
          <w:p w14:paraId="7EBA64BE" w14:textId="77777777" w:rsidR="00A65E20" w:rsidRPr="00492055" w:rsidRDefault="00870A84" w:rsidP="00492055">
            <w:pPr>
              <w:spacing w:before="440" w:after="440"/>
              <w:ind w:right="176"/>
              <w:jc w:val="center"/>
              <w:rPr>
                <w:lang w:val="fr-CH"/>
              </w:rPr>
            </w:pPr>
            <w:r w:rsidRPr="00492055">
              <w:rPr>
                <w:lang w:val="fr-CH"/>
              </w:rPr>
              <w:t>é</w:t>
            </w:r>
            <w:r w:rsidR="00A65E20" w:rsidRPr="00492055">
              <w:rPr>
                <w:lang w:val="fr-CH"/>
              </w:rPr>
              <w:t>dicte:</w:t>
            </w:r>
          </w:p>
        </w:tc>
      </w:tr>
      <w:tr w:rsidR="00A65E20" w14:paraId="56238E5A" w14:textId="77777777" w:rsidTr="00492055">
        <w:tc>
          <w:tcPr>
            <w:tcW w:w="1801" w:type="dxa"/>
          </w:tcPr>
          <w:p w14:paraId="589F635F" w14:textId="77777777" w:rsidR="00A65E20" w:rsidRDefault="00A65E20" w:rsidP="00492055">
            <w:pPr>
              <w:jc w:val="left"/>
            </w:pPr>
          </w:p>
        </w:tc>
        <w:tc>
          <w:tcPr>
            <w:tcW w:w="236" w:type="dxa"/>
          </w:tcPr>
          <w:p w14:paraId="75B419DC" w14:textId="77777777" w:rsidR="00A65E20" w:rsidRDefault="00A65E20" w:rsidP="00D84A94"/>
        </w:tc>
        <w:tc>
          <w:tcPr>
            <w:tcW w:w="7569" w:type="dxa"/>
          </w:tcPr>
          <w:p w14:paraId="195111C6" w14:textId="77777777" w:rsidR="00A65E20" w:rsidRPr="00492055" w:rsidRDefault="00A65E20" w:rsidP="00492055">
            <w:pPr>
              <w:spacing w:after="240"/>
              <w:ind w:left="414" w:right="176" w:hanging="425"/>
              <w:rPr>
                <w:b/>
              </w:rPr>
            </w:pPr>
            <w:r w:rsidRPr="00492055">
              <w:rPr>
                <w:b/>
                <w:lang w:val="fr-CH"/>
              </w:rPr>
              <w:t>I.</w:t>
            </w:r>
            <w:r w:rsidRPr="00492055">
              <w:rPr>
                <w:b/>
                <w:lang w:val="fr-CH"/>
              </w:rPr>
              <w:tab/>
            </w:r>
            <w:r w:rsidRPr="00492055">
              <w:rPr>
                <w:b/>
                <w:caps/>
                <w:lang w:val="fr-CH"/>
              </w:rPr>
              <w:t>Dispositions générales</w:t>
            </w:r>
          </w:p>
        </w:tc>
      </w:tr>
      <w:tr w:rsidR="00A65E20" w14:paraId="68741CDA" w14:textId="77777777" w:rsidTr="00492055">
        <w:tc>
          <w:tcPr>
            <w:tcW w:w="1801" w:type="dxa"/>
          </w:tcPr>
          <w:p w14:paraId="2D190018" w14:textId="77777777" w:rsidR="00A65E20" w:rsidRDefault="00A65E20" w:rsidP="00492055">
            <w:pPr>
              <w:jc w:val="left"/>
            </w:pPr>
            <w:r w:rsidRPr="00492055">
              <w:rPr>
                <w:lang w:val="fr-CH"/>
              </w:rPr>
              <w:t>Objet</w:t>
            </w:r>
          </w:p>
        </w:tc>
        <w:tc>
          <w:tcPr>
            <w:tcW w:w="236" w:type="dxa"/>
          </w:tcPr>
          <w:p w14:paraId="332553B0" w14:textId="77777777" w:rsidR="00A65E20" w:rsidRDefault="00A65E20" w:rsidP="00D84A94"/>
        </w:tc>
        <w:tc>
          <w:tcPr>
            <w:tcW w:w="7569" w:type="dxa"/>
          </w:tcPr>
          <w:p w14:paraId="3A085EE7" w14:textId="77777777" w:rsidR="00A65E20" w:rsidRPr="00492055" w:rsidRDefault="00A65E20" w:rsidP="00492055">
            <w:pPr>
              <w:tabs>
                <w:tab w:val="left" w:pos="1649"/>
                <w:tab w:val="left" w:pos="1791"/>
              </w:tabs>
              <w:spacing w:after="240"/>
              <w:ind w:right="176"/>
              <w:rPr>
                <w:lang w:val="fr-CH"/>
              </w:rPr>
            </w:pPr>
            <w:r w:rsidRPr="00492055">
              <w:rPr>
                <w:b/>
                <w:lang w:val="fr-CH"/>
              </w:rPr>
              <w:t>Article premier</w:t>
            </w:r>
            <w:r w:rsidR="00614C09" w:rsidRPr="00492055">
              <w:rPr>
                <w:b/>
                <w:lang w:val="fr-CH"/>
              </w:rPr>
              <w:t>.</w:t>
            </w:r>
            <w:r w:rsidR="00614C09" w:rsidRPr="00492055">
              <w:rPr>
                <w:lang w:val="fr-CH"/>
              </w:rPr>
              <w:tab/>
            </w:r>
            <w:r w:rsidRPr="00492055">
              <w:rPr>
                <w:vertAlign w:val="superscript"/>
                <w:lang w:val="fr-CH"/>
              </w:rPr>
              <w:t>1</w:t>
            </w:r>
            <w:r w:rsidR="00500350" w:rsidRPr="00492055">
              <w:rPr>
                <w:lang w:val="fr-CH"/>
              </w:rPr>
              <w:tab/>
            </w:r>
            <w:r w:rsidRPr="00492055">
              <w:rPr>
                <w:lang w:val="fr-CH"/>
              </w:rPr>
              <w:t>Le présent règlement a pour objet la perception des émoluments et des contributions de remplacement en matière d'aménagement du territoire et de constructions.</w:t>
            </w:r>
          </w:p>
          <w:p w14:paraId="6E2DA732" w14:textId="77777777" w:rsidR="00A65E20" w:rsidRDefault="004C56B8" w:rsidP="00C67E27">
            <w:pPr>
              <w:tabs>
                <w:tab w:val="left" w:pos="177"/>
              </w:tabs>
              <w:spacing w:after="360"/>
            </w:pPr>
            <w:r w:rsidRPr="00492055">
              <w:rPr>
                <w:vertAlign w:val="superscript"/>
                <w:lang w:val="fr-CH"/>
              </w:rPr>
              <w:t>2</w:t>
            </w:r>
            <w:r w:rsidRPr="00492055">
              <w:rPr>
                <w:vertAlign w:val="superscript"/>
                <w:lang w:val="fr-CH"/>
              </w:rPr>
              <w:tab/>
            </w:r>
            <w:r w:rsidR="00A65E20" w:rsidRPr="00492055">
              <w:rPr>
                <w:lang w:val="fr-CH"/>
              </w:rPr>
              <w:t>Il détermine le cercle des assujettis, l'objet, le mode de calcul et le montant des émoluments et des contributions</w:t>
            </w:r>
            <w:r w:rsidR="00C67E27">
              <w:rPr>
                <w:lang w:val="fr-CH"/>
              </w:rPr>
              <w:t xml:space="preserve"> de remplacement</w:t>
            </w:r>
            <w:r w:rsidR="00A65E20" w:rsidRPr="00492055">
              <w:rPr>
                <w:lang w:val="fr-CH"/>
              </w:rPr>
              <w:t>.</w:t>
            </w:r>
          </w:p>
        </w:tc>
      </w:tr>
      <w:tr w:rsidR="00641F14" w14:paraId="7BA267D0" w14:textId="77777777" w:rsidTr="00492055">
        <w:tc>
          <w:tcPr>
            <w:tcW w:w="1801" w:type="dxa"/>
          </w:tcPr>
          <w:p w14:paraId="4983C26B" w14:textId="77777777" w:rsidR="00641F14" w:rsidRDefault="00641F14" w:rsidP="00492055">
            <w:pPr>
              <w:jc w:val="left"/>
            </w:pPr>
            <w:r w:rsidRPr="00492055">
              <w:rPr>
                <w:lang w:val="fr-CH"/>
              </w:rPr>
              <w:t>Cercle des assujettis</w:t>
            </w:r>
          </w:p>
        </w:tc>
        <w:tc>
          <w:tcPr>
            <w:tcW w:w="236" w:type="dxa"/>
          </w:tcPr>
          <w:p w14:paraId="5EC659F0" w14:textId="77777777" w:rsidR="00641F14" w:rsidRDefault="00641F14" w:rsidP="00D84A94"/>
        </w:tc>
        <w:tc>
          <w:tcPr>
            <w:tcW w:w="7569" w:type="dxa"/>
          </w:tcPr>
          <w:p w14:paraId="7A752892" w14:textId="332147FD" w:rsidR="00641F14" w:rsidRPr="00492055" w:rsidRDefault="00641F14" w:rsidP="00492055">
            <w:pPr>
              <w:tabs>
                <w:tab w:val="left" w:pos="810"/>
                <w:tab w:val="left" w:pos="940"/>
              </w:tabs>
              <w:spacing w:after="360"/>
              <w:rPr>
                <w:b/>
                <w:lang w:val="fr-CH"/>
              </w:rPr>
            </w:pPr>
            <w:r w:rsidRPr="00492055">
              <w:rPr>
                <w:b/>
                <w:lang w:val="fr-CH"/>
              </w:rPr>
              <w:t>Art. 2.</w:t>
            </w:r>
            <w:r w:rsidR="00FF2CFE" w:rsidRPr="00492055">
              <w:rPr>
                <w:b/>
                <w:lang w:val="fr-CH"/>
              </w:rPr>
              <w:tab/>
            </w:r>
            <w:r w:rsidR="00D111B2" w:rsidRPr="00492055">
              <w:rPr>
                <w:b/>
                <w:lang w:val="fr-CH"/>
              </w:rPr>
              <w:tab/>
            </w:r>
            <w:r w:rsidR="00F2496E" w:rsidRPr="00F2496E">
              <w:rPr>
                <w:vertAlign w:val="superscript"/>
                <w:lang w:val="fr-CH"/>
              </w:rPr>
              <w:t>1</w:t>
            </w:r>
            <w:r w:rsidR="00F2496E">
              <w:rPr>
                <w:b/>
                <w:lang w:val="fr-CH"/>
              </w:rPr>
              <w:t xml:space="preserve"> </w:t>
            </w:r>
            <w:r w:rsidRPr="00492055">
              <w:rPr>
                <w:lang w:val="fr-CH"/>
              </w:rPr>
              <w:t xml:space="preserve">Les émoluments et les contributions </w:t>
            </w:r>
            <w:r w:rsidR="00C67E27">
              <w:rPr>
                <w:lang w:val="fr-CH"/>
              </w:rPr>
              <w:t xml:space="preserve">de remplacement </w:t>
            </w:r>
            <w:r w:rsidRPr="00492055">
              <w:rPr>
                <w:lang w:val="fr-CH"/>
              </w:rPr>
              <w:t xml:space="preserve">sont dus par celui </w:t>
            </w:r>
            <w:r w:rsidR="00C67E27">
              <w:rPr>
                <w:lang w:val="fr-CH"/>
              </w:rPr>
              <w:t xml:space="preserve">ou celle </w:t>
            </w:r>
            <w:r w:rsidRPr="00492055">
              <w:rPr>
                <w:lang w:val="fr-CH"/>
              </w:rPr>
              <w:t xml:space="preserve">qui requiert </w:t>
            </w:r>
            <w:r w:rsidR="00DD78C1" w:rsidRPr="00DD78C1">
              <w:rPr>
                <w:lang w:val="fr-CH"/>
              </w:rPr>
              <w:t xml:space="preserve">ou à qui est imposé </w:t>
            </w:r>
            <w:r w:rsidRPr="00492055">
              <w:rPr>
                <w:lang w:val="fr-CH"/>
              </w:rPr>
              <w:t>une ou plusieurs prestations communales désignées à l'article 3</w:t>
            </w:r>
            <w:r w:rsidR="00DD78C1">
              <w:rPr>
                <w:lang w:val="fr-CH"/>
              </w:rPr>
              <w:t>,</w:t>
            </w:r>
            <w:r w:rsidRPr="00492055">
              <w:rPr>
                <w:lang w:val="fr-CH"/>
              </w:rPr>
              <w:t xml:space="preserve"> ou qui est </w:t>
            </w:r>
            <w:proofErr w:type="spellStart"/>
            <w:r w:rsidRPr="00492055">
              <w:rPr>
                <w:lang w:val="fr-CH"/>
              </w:rPr>
              <w:t>dispensé</w:t>
            </w:r>
            <w:r w:rsidR="00C67E27">
              <w:rPr>
                <w:lang w:val="fr-CH"/>
              </w:rPr>
              <w:t>-e</w:t>
            </w:r>
            <w:proofErr w:type="spellEnd"/>
            <w:r w:rsidRPr="00492055">
              <w:rPr>
                <w:lang w:val="fr-CH"/>
              </w:rPr>
              <w:t xml:space="preserve"> d'une des obligations mentionnées aux articles 6 et 7.</w:t>
            </w:r>
          </w:p>
        </w:tc>
      </w:tr>
      <w:tr w:rsidR="00A65E20" w14:paraId="01DA4463" w14:textId="77777777" w:rsidTr="00492055">
        <w:trPr>
          <w:cantSplit/>
        </w:trPr>
        <w:tc>
          <w:tcPr>
            <w:tcW w:w="1801" w:type="dxa"/>
          </w:tcPr>
          <w:p w14:paraId="5C1418B4" w14:textId="77777777" w:rsidR="00A65E20" w:rsidRDefault="00A65E20" w:rsidP="00492055">
            <w:pPr>
              <w:jc w:val="left"/>
            </w:pPr>
          </w:p>
        </w:tc>
        <w:tc>
          <w:tcPr>
            <w:tcW w:w="236" w:type="dxa"/>
          </w:tcPr>
          <w:p w14:paraId="0A04A5D5" w14:textId="77777777" w:rsidR="00A65E20" w:rsidRDefault="00A65E20" w:rsidP="00D84A94"/>
        </w:tc>
        <w:tc>
          <w:tcPr>
            <w:tcW w:w="7569" w:type="dxa"/>
          </w:tcPr>
          <w:p w14:paraId="6F5A9A31" w14:textId="77777777" w:rsidR="00A65E20" w:rsidRPr="00492055" w:rsidRDefault="00A65E20" w:rsidP="00492055">
            <w:pPr>
              <w:spacing w:after="240"/>
              <w:ind w:left="414" w:right="176" w:hanging="425"/>
              <w:rPr>
                <w:b/>
              </w:rPr>
            </w:pPr>
            <w:r w:rsidRPr="00492055">
              <w:rPr>
                <w:b/>
                <w:lang w:val="fr-CH"/>
              </w:rPr>
              <w:t>II.</w:t>
            </w:r>
            <w:r w:rsidRPr="00492055">
              <w:rPr>
                <w:b/>
                <w:lang w:val="fr-CH"/>
              </w:rPr>
              <w:tab/>
            </w:r>
            <w:r w:rsidRPr="00492055">
              <w:rPr>
                <w:b/>
                <w:caps/>
                <w:lang w:val="fr-CH"/>
              </w:rPr>
              <w:t>Émoluments</w:t>
            </w:r>
          </w:p>
        </w:tc>
      </w:tr>
      <w:tr w:rsidR="004B266D" w14:paraId="51C2C77D" w14:textId="77777777" w:rsidTr="00492055">
        <w:trPr>
          <w:cantSplit/>
        </w:trPr>
        <w:tc>
          <w:tcPr>
            <w:tcW w:w="1801" w:type="dxa"/>
          </w:tcPr>
          <w:p w14:paraId="2D7E43BC" w14:textId="77777777" w:rsidR="004B266D" w:rsidRDefault="004B266D" w:rsidP="00492055">
            <w:pPr>
              <w:jc w:val="left"/>
            </w:pPr>
            <w:r w:rsidRPr="00492055">
              <w:rPr>
                <w:lang w:val="fr-CH"/>
              </w:rPr>
              <w:t>Prestations soumises à émolument</w:t>
            </w:r>
          </w:p>
        </w:tc>
        <w:tc>
          <w:tcPr>
            <w:tcW w:w="236" w:type="dxa"/>
          </w:tcPr>
          <w:p w14:paraId="5FF95EDC" w14:textId="77777777" w:rsidR="004B266D" w:rsidRDefault="004B266D" w:rsidP="00D84A94"/>
        </w:tc>
        <w:tc>
          <w:tcPr>
            <w:tcW w:w="7569" w:type="dxa"/>
          </w:tcPr>
          <w:p w14:paraId="7CB90D69" w14:textId="77777777" w:rsidR="004B266D" w:rsidRPr="00492055" w:rsidRDefault="004B266D" w:rsidP="00492055">
            <w:pPr>
              <w:tabs>
                <w:tab w:val="left" w:pos="798"/>
                <w:tab w:val="left" w:pos="940"/>
              </w:tabs>
              <w:spacing w:after="240"/>
              <w:ind w:right="176"/>
              <w:rPr>
                <w:lang w:val="fr-CH"/>
              </w:rPr>
            </w:pPr>
            <w:r w:rsidRPr="00492055">
              <w:rPr>
                <w:b/>
                <w:lang w:val="fr-CH"/>
              </w:rPr>
              <w:t>Art. 3.</w:t>
            </w:r>
            <w:r w:rsidRPr="00492055">
              <w:rPr>
                <w:lang w:val="fr-CH"/>
              </w:rPr>
              <w:tab/>
            </w:r>
            <w:r w:rsidRPr="00492055">
              <w:rPr>
                <w:vertAlign w:val="superscript"/>
                <w:lang w:val="fr-CH"/>
              </w:rPr>
              <w:t>1</w:t>
            </w:r>
            <w:r w:rsidRPr="00492055">
              <w:rPr>
                <w:vertAlign w:val="superscript"/>
                <w:lang w:val="fr-CH"/>
              </w:rPr>
              <w:tab/>
            </w:r>
            <w:r w:rsidRPr="00492055">
              <w:rPr>
                <w:lang w:val="fr-CH"/>
              </w:rPr>
              <w:t>Sont soumis à émolument</w:t>
            </w:r>
            <w:r w:rsidR="00E02024" w:rsidRPr="00492055">
              <w:rPr>
                <w:lang w:val="fr-CH"/>
              </w:rPr>
              <w:t xml:space="preserve"> </w:t>
            </w:r>
            <w:r w:rsidRPr="00492055">
              <w:rPr>
                <w:lang w:val="fr-CH"/>
              </w:rPr>
              <w:t>:</w:t>
            </w:r>
          </w:p>
          <w:p w14:paraId="62448022" w14:textId="77777777" w:rsidR="004B266D" w:rsidRPr="00492055" w:rsidRDefault="004B266D" w:rsidP="00492055">
            <w:pPr>
              <w:ind w:left="414" w:right="176" w:hanging="425"/>
              <w:rPr>
                <w:lang w:val="fr-CH"/>
              </w:rPr>
            </w:pPr>
            <w:r w:rsidRPr="00492055">
              <w:rPr>
                <w:lang w:val="fr-CH"/>
              </w:rPr>
              <w:t>a)</w:t>
            </w:r>
            <w:r w:rsidRPr="00492055">
              <w:rPr>
                <w:lang w:val="fr-CH"/>
              </w:rPr>
              <w:tab/>
              <w:t>l'examen préalable et définitif d'un plan d'aménagement de détail;</w:t>
            </w:r>
          </w:p>
          <w:p w14:paraId="78F49674" w14:textId="77777777" w:rsidR="004B266D" w:rsidRPr="00492055" w:rsidRDefault="004B266D" w:rsidP="00492055">
            <w:pPr>
              <w:ind w:left="413" w:right="175" w:hanging="425"/>
              <w:rPr>
                <w:lang w:val="fr-CH"/>
              </w:rPr>
            </w:pPr>
            <w:r w:rsidRPr="00492055">
              <w:rPr>
                <w:lang w:val="fr-CH"/>
              </w:rPr>
              <w:t>b)</w:t>
            </w:r>
            <w:r w:rsidRPr="00492055">
              <w:rPr>
                <w:lang w:val="fr-CH"/>
              </w:rPr>
              <w:tab/>
              <w:t>la demande préalable, la demande de permis d'implantation et la demande de permis;</w:t>
            </w:r>
          </w:p>
          <w:p w14:paraId="5A3CD4E1" w14:textId="77777777" w:rsidR="004B266D" w:rsidRPr="00256F71" w:rsidRDefault="004B266D" w:rsidP="00492055">
            <w:pPr>
              <w:ind w:left="414" w:right="176" w:hanging="425"/>
              <w:rPr>
                <w:lang w:val="fr-CH"/>
              </w:rPr>
            </w:pPr>
            <w:r w:rsidRPr="00492055">
              <w:rPr>
                <w:lang w:val="fr-CH"/>
              </w:rPr>
              <w:t>c)</w:t>
            </w:r>
            <w:r w:rsidRPr="00492055">
              <w:rPr>
                <w:lang w:val="fr-CH"/>
              </w:rPr>
              <w:tab/>
              <w:t xml:space="preserve">le </w:t>
            </w:r>
            <w:r w:rsidRPr="00256F71">
              <w:rPr>
                <w:lang w:val="fr-CH"/>
              </w:rPr>
              <w:t>contrôle des travaux et</w:t>
            </w:r>
            <w:r w:rsidR="000A7953" w:rsidRPr="00256F71">
              <w:rPr>
                <w:lang w:val="fr-CH"/>
              </w:rPr>
              <w:t xml:space="preserve"> l’octroi du permis d’occuper;</w:t>
            </w:r>
          </w:p>
          <w:p w14:paraId="6ABF9593" w14:textId="20812BF2" w:rsidR="000A7953" w:rsidRPr="00256F71" w:rsidRDefault="000A7953" w:rsidP="00E534BC">
            <w:pPr>
              <w:ind w:left="414" w:right="176" w:hanging="425"/>
              <w:rPr>
                <w:lang w:val="fr-CH"/>
              </w:rPr>
            </w:pPr>
            <w:r w:rsidRPr="00256F71">
              <w:rPr>
                <w:lang w:val="fr-CH"/>
              </w:rPr>
              <w:t>d)</w:t>
            </w:r>
            <w:r w:rsidRPr="00256F71">
              <w:rPr>
                <w:lang w:val="fr-CH"/>
              </w:rPr>
              <w:tab/>
              <w:t>la saisie et la numérisation de demandes de permis de construire par la commune pour les requérants</w:t>
            </w:r>
            <w:r w:rsidR="00E534BC" w:rsidRPr="00256F71">
              <w:rPr>
                <w:lang w:val="fr-CH"/>
              </w:rPr>
              <w:t>;</w:t>
            </w:r>
          </w:p>
          <w:p w14:paraId="167FB543" w14:textId="76757A7F" w:rsidR="00E534BC" w:rsidRPr="00492055" w:rsidRDefault="00E534BC" w:rsidP="00046F3B">
            <w:pPr>
              <w:ind w:left="414" w:right="176" w:hanging="425"/>
              <w:rPr>
                <w:lang w:val="fr-CH"/>
              </w:rPr>
            </w:pPr>
            <w:r w:rsidRPr="00256F71">
              <w:rPr>
                <w:lang w:val="fr-CH"/>
              </w:rPr>
              <w:t>e)</w:t>
            </w:r>
            <w:r w:rsidRPr="00256F71">
              <w:rPr>
                <w:lang w:val="fr-CH"/>
              </w:rPr>
              <w:tab/>
              <w:t xml:space="preserve">les contrôles des bâtiments et autres activités de sécurité au sens de la législation </w:t>
            </w:r>
            <w:r w:rsidR="00046F3B" w:rsidRPr="00256F71">
              <w:rPr>
                <w:lang w:val="fr-CH"/>
              </w:rPr>
              <w:t>en matière de prévention des risques liés au feu et aux éléments naturels</w:t>
            </w:r>
            <w:r w:rsidRPr="00256F71">
              <w:rPr>
                <w:lang w:val="fr-CH"/>
              </w:rPr>
              <w:t>.</w:t>
            </w:r>
          </w:p>
          <w:p w14:paraId="52DA2070" w14:textId="77777777" w:rsidR="00C055C7" w:rsidRPr="00492055" w:rsidRDefault="00C055C7" w:rsidP="00492055">
            <w:pPr>
              <w:ind w:left="414" w:right="176" w:hanging="425"/>
              <w:rPr>
                <w:lang w:val="fr-CH"/>
              </w:rPr>
            </w:pPr>
          </w:p>
          <w:p w14:paraId="151B4214" w14:textId="4DEDF1B0" w:rsidR="004B266D" w:rsidRPr="00492055" w:rsidRDefault="00C055C7" w:rsidP="00CE7EBC">
            <w:pPr>
              <w:spacing w:after="360"/>
              <w:ind w:right="176"/>
              <w:rPr>
                <w:b/>
                <w:lang w:val="fr-CH"/>
              </w:rPr>
            </w:pPr>
            <w:r w:rsidRPr="00492055">
              <w:rPr>
                <w:vertAlign w:val="superscript"/>
                <w:lang w:val="fr-CH"/>
              </w:rPr>
              <w:t xml:space="preserve">2 </w:t>
            </w:r>
            <w:r w:rsidR="004B266D" w:rsidRPr="00492055">
              <w:rPr>
                <w:lang w:val="fr-CH"/>
              </w:rPr>
              <w:t>Sont régis par le présent règlement les projets de plans d</w:t>
            </w:r>
            <w:r w:rsidR="005735BB" w:rsidRPr="00492055">
              <w:rPr>
                <w:lang w:val="fr-CH"/>
              </w:rPr>
              <w:t xml:space="preserve">’aménagement de détail </w:t>
            </w:r>
            <w:r w:rsidR="004B266D" w:rsidRPr="00492055">
              <w:rPr>
                <w:lang w:val="fr-CH"/>
              </w:rPr>
              <w:t xml:space="preserve">ainsi que les objets soumis à l’obligation de permis </w:t>
            </w:r>
            <w:r w:rsidR="00CE7EBC">
              <w:rPr>
                <w:lang w:val="fr-CH"/>
              </w:rPr>
              <w:t>selon les art</w:t>
            </w:r>
            <w:r w:rsidR="00DD78C1">
              <w:rPr>
                <w:lang w:val="fr-CH"/>
              </w:rPr>
              <w:t>icles</w:t>
            </w:r>
            <w:r w:rsidR="00CE7EBC">
              <w:rPr>
                <w:lang w:val="fr-CH"/>
              </w:rPr>
              <w:t xml:space="preserve"> 135 </w:t>
            </w:r>
            <w:proofErr w:type="spellStart"/>
            <w:r w:rsidR="00CE7EBC">
              <w:rPr>
                <w:lang w:val="fr-CH"/>
              </w:rPr>
              <w:t>LATeC</w:t>
            </w:r>
            <w:proofErr w:type="spellEnd"/>
            <w:r w:rsidR="00CE7EBC">
              <w:rPr>
                <w:lang w:val="fr-CH"/>
              </w:rPr>
              <w:t xml:space="preserve"> et</w:t>
            </w:r>
            <w:r w:rsidR="004B266D" w:rsidRPr="00492055">
              <w:rPr>
                <w:lang w:val="fr-CH"/>
              </w:rPr>
              <w:t xml:space="preserve"> 84</w:t>
            </w:r>
            <w:r w:rsidR="00C67E27">
              <w:rPr>
                <w:lang w:val="fr-CH"/>
              </w:rPr>
              <w:t xml:space="preserve"> </w:t>
            </w:r>
            <w:proofErr w:type="spellStart"/>
            <w:r w:rsidR="005735BB" w:rsidRPr="00492055">
              <w:rPr>
                <w:lang w:val="fr-CH"/>
              </w:rPr>
              <w:t>s</w:t>
            </w:r>
            <w:r w:rsidR="00C67E27">
              <w:rPr>
                <w:lang w:val="fr-CH"/>
              </w:rPr>
              <w:t>s</w:t>
            </w:r>
            <w:proofErr w:type="spellEnd"/>
            <w:r w:rsidR="00F2496E">
              <w:rPr>
                <w:lang w:val="fr-CH"/>
              </w:rPr>
              <w:t xml:space="preserve"> </w:t>
            </w:r>
            <w:proofErr w:type="spellStart"/>
            <w:r w:rsidR="00F2496E">
              <w:rPr>
                <w:lang w:val="fr-CH"/>
              </w:rPr>
              <w:t>ReLATeC</w:t>
            </w:r>
            <w:proofErr w:type="spellEnd"/>
            <w:r w:rsidR="004B266D" w:rsidRPr="00492055">
              <w:rPr>
                <w:lang w:val="fr-CH"/>
              </w:rPr>
              <w:t>.</w:t>
            </w:r>
          </w:p>
        </w:tc>
      </w:tr>
    </w:tbl>
    <w:p w14:paraId="386BF887" w14:textId="77777777" w:rsidR="00FC12A5" w:rsidRDefault="00FC12A5" w:rsidP="00A65E20">
      <w:pPr>
        <w:jc w:val="left"/>
        <w:rPr>
          <w:lang w:val="fr-CH"/>
        </w:rPr>
        <w:sectPr w:rsidR="00FC12A5" w:rsidSect="004B2E69">
          <w:headerReference w:type="default" r:id="rId11"/>
          <w:footerReference w:type="default" r:id="rId12"/>
          <w:type w:val="continuous"/>
          <w:pgSz w:w="11907" w:h="16840" w:code="9"/>
          <w:pgMar w:top="1418" w:right="1134" w:bottom="709" w:left="1418" w:header="1134" w:footer="476" w:gutter="0"/>
          <w:cols w:space="720"/>
          <w:noEndnote/>
        </w:sect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800"/>
        <w:gridCol w:w="239"/>
        <w:gridCol w:w="7567"/>
      </w:tblGrid>
      <w:tr w:rsidR="00A65E20" w14:paraId="1C13208B" w14:textId="77777777" w:rsidTr="00492055">
        <w:tc>
          <w:tcPr>
            <w:tcW w:w="1800" w:type="dxa"/>
          </w:tcPr>
          <w:p w14:paraId="772EF47A" w14:textId="77777777" w:rsidR="00A65E20" w:rsidRDefault="0099113B" w:rsidP="00492055">
            <w:pPr>
              <w:jc w:val="left"/>
              <w:rPr>
                <w:lang w:val="fr-CH"/>
              </w:rPr>
            </w:pPr>
            <w:r w:rsidRPr="00492055">
              <w:rPr>
                <w:lang w:val="fr-CH"/>
              </w:rPr>
              <w:lastRenderedPageBreak/>
              <w:t>Mode de calcul</w:t>
            </w:r>
          </w:p>
          <w:p w14:paraId="212A1F06" w14:textId="39C31B64" w:rsidR="00DD78C1" w:rsidRDefault="00DD78C1" w:rsidP="00492055">
            <w:pPr>
              <w:jc w:val="left"/>
            </w:pPr>
            <w:proofErr w:type="gramStart"/>
            <w:r>
              <w:t>et</w:t>
            </w:r>
            <w:proofErr w:type="gramEnd"/>
            <w:r>
              <w:t xml:space="preserve"> montants</w:t>
            </w:r>
          </w:p>
        </w:tc>
        <w:tc>
          <w:tcPr>
            <w:tcW w:w="239" w:type="dxa"/>
          </w:tcPr>
          <w:p w14:paraId="67F4E3B2" w14:textId="77777777" w:rsidR="00A65E20" w:rsidRDefault="00A65E20" w:rsidP="00D84A94"/>
        </w:tc>
        <w:tc>
          <w:tcPr>
            <w:tcW w:w="7567" w:type="dxa"/>
          </w:tcPr>
          <w:p w14:paraId="38D01E8C" w14:textId="77777777" w:rsidR="0099113B" w:rsidRPr="00492055" w:rsidRDefault="0099113B" w:rsidP="00492055">
            <w:pPr>
              <w:tabs>
                <w:tab w:val="left" w:pos="810"/>
                <w:tab w:val="left" w:pos="940"/>
              </w:tabs>
              <w:spacing w:after="240"/>
              <w:ind w:right="176"/>
              <w:rPr>
                <w:lang w:val="fr-CH"/>
              </w:rPr>
            </w:pPr>
            <w:r w:rsidRPr="00492055">
              <w:rPr>
                <w:b/>
                <w:lang w:val="fr-CH"/>
              </w:rPr>
              <w:t>Art</w:t>
            </w:r>
            <w:r w:rsidR="00BC3D34" w:rsidRPr="00492055">
              <w:rPr>
                <w:b/>
                <w:lang w:val="fr-CH"/>
              </w:rPr>
              <w:t>.</w:t>
            </w:r>
            <w:r w:rsidRPr="00492055">
              <w:rPr>
                <w:b/>
                <w:lang w:val="fr-CH"/>
              </w:rPr>
              <w:t xml:space="preserve"> 4</w:t>
            </w:r>
            <w:r w:rsidR="00614C09" w:rsidRPr="00492055">
              <w:rPr>
                <w:b/>
                <w:lang w:val="fr-CH"/>
              </w:rPr>
              <w:t>.</w:t>
            </w:r>
            <w:r w:rsidR="00614C09" w:rsidRPr="00492055">
              <w:rPr>
                <w:lang w:val="fr-CH"/>
              </w:rPr>
              <w:tab/>
            </w:r>
            <w:r w:rsidRPr="00492055">
              <w:rPr>
                <w:vertAlign w:val="superscript"/>
                <w:lang w:val="fr-CH"/>
              </w:rPr>
              <w:t>1</w:t>
            </w:r>
            <w:r w:rsidR="00500350" w:rsidRPr="00492055">
              <w:rPr>
                <w:lang w:val="fr-CH"/>
              </w:rPr>
              <w:tab/>
            </w:r>
            <w:r w:rsidRPr="00492055">
              <w:rPr>
                <w:lang w:val="fr-CH"/>
              </w:rPr>
              <w:t>L'émolument se compose d'une taxe fixe et d'une taxe proportionnelle. La taxe fixe est destinée à couvrir les frais de constitution et de liquidation du dossier (al. 2). La taxe proportionnelle se calcule sur la base d'un tarif horaire (al. 3).</w:t>
            </w:r>
          </w:p>
          <w:p w14:paraId="2330B681" w14:textId="77777777" w:rsidR="0099113B" w:rsidRPr="00492055" w:rsidRDefault="0099113B" w:rsidP="00492055">
            <w:pPr>
              <w:tabs>
                <w:tab w:val="left" w:pos="177"/>
              </w:tabs>
              <w:spacing w:after="240"/>
              <w:rPr>
                <w:lang w:val="fr-CH"/>
              </w:rPr>
            </w:pPr>
            <w:r w:rsidRPr="00492055">
              <w:rPr>
                <w:vertAlign w:val="superscript"/>
                <w:lang w:val="fr-CH"/>
              </w:rPr>
              <w:t>2</w:t>
            </w:r>
            <w:r w:rsidR="004C56B8" w:rsidRPr="00492055">
              <w:rPr>
                <w:vertAlign w:val="superscript"/>
                <w:lang w:val="fr-CH"/>
              </w:rPr>
              <w:tab/>
            </w:r>
            <w:r w:rsidRPr="00492055">
              <w:rPr>
                <w:lang w:val="fr-CH"/>
              </w:rPr>
              <w:t>La taxe fixe est de Fr. ...</w:t>
            </w:r>
          </w:p>
          <w:p w14:paraId="1ED63DF2" w14:textId="77777777" w:rsidR="00A65E20" w:rsidRPr="00492055" w:rsidRDefault="0099113B" w:rsidP="00492055">
            <w:pPr>
              <w:tabs>
                <w:tab w:val="left" w:pos="177"/>
              </w:tabs>
              <w:spacing w:after="360"/>
              <w:rPr>
                <w:lang w:val="fr-CH"/>
              </w:rPr>
            </w:pPr>
            <w:r w:rsidRPr="00492055">
              <w:rPr>
                <w:vertAlign w:val="superscript"/>
                <w:lang w:val="fr-CH"/>
              </w:rPr>
              <w:t>3</w:t>
            </w:r>
            <w:r w:rsidR="004C56B8" w:rsidRPr="00492055">
              <w:rPr>
                <w:lang w:val="fr-CH"/>
              </w:rPr>
              <w:tab/>
            </w:r>
            <w:r w:rsidRPr="00492055">
              <w:rPr>
                <w:lang w:val="fr-CH"/>
              </w:rPr>
              <w:t>Le tarif horaire est de Fr. ...</w:t>
            </w:r>
          </w:p>
        </w:tc>
      </w:tr>
      <w:tr w:rsidR="00A65E20" w14:paraId="5625FDA6" w14:textId="77777777" w:rsidTr="00492055">
        <w:tc>
          <w:tcPr>
            <w:tcW w:w="1800" w:type="dxa"/>
          </w:tcPr>
          <w:p w14:paraId="5FA4A723" w14:textId="77777777" w:rsidR="00A65E20" w:rsidRDefault="00A65E20" w:rsidP="00492055">
            <w:pPr>
              <w:jc w:val="left"/>
            </w:pPr>
          </w:p>
        </w:tc>
        <w:tc>
          <w:tcPr>
            <w:tcW w:w="239" w:type="dxa"/>
          </w:tcPr>
          <w:p w14:paraId="4AACC61A" w14:textId="77777777" w:rsidR="00A65E20" w:rsidRDefault="00A65E20" w:rsidP="00D84A94"/>
        </w:tc>
        <w:tc>
          <w:tcPr>
            <w:tcW w:w="7567" w:type="dxa"/>
          </w:tcPr>
          <w:p w14:paraId="6138ABDC" w14:textId="77777777" w:rsidR="00A65E20" w:rsidRPr="00492055" w:rsidRDefault="0099113B" w:rsidP="00492055">
            <w:pPr>
              <w:spacing w:after="240"/>
              <w:ind w:left="414" w:hanging="425"/>
              <w:rPr>
                <w:lang w:val="fr-CH"/>
              </w:rPr>
            </w:pPr>
            <w:r w:rsidRPr="00492055">
              <w:rPr>
                <w:b/>
              </w:rPr>
              <w:t>III.</w:t>
            </w:r>
            <w:r w:rsidRPr="00401FB8">
              <w:tab/>
            </w:r>
            <w:r w:rsidRPr="00492055">
              <w:rPr>
                <w:b/>
                <w:caps/>
                <w:lang w:val="fr-CH"/>
              </w:rPr>
              <w:t>Contributions</w:t>
            </w:r>
            <w:r w:rsidRPr="00492055">
              <w:rPr>
                <w:caps/>
              </w:rPr>
              <w:t xml:space="preserve"> </w:t>
            </w:r>
            <w:r w:rsidRPr="00492055">
              <w:rPr>
                <w:b/>
                <w:caps/>
              </w:rPr>
              <w:t>de remplacement</w:t>
            </w:r>
          </w:p>
        </w:tc>
      </w:tr>
      <w:tr w:rsidR="00A65E20" w14:paraId="478A0184" w14:textId="77777777" w:rsidTr="00492055">
        <w:tc>
          <w:tcPr>
            <w:tcW w:w="1800" w:type="dxa"/>
          </w:tcPr>
          <w:p w14:paraId="0A80A445" w14:textId="77777777" w:rsidR="00A65E20" w:rsidRDefault="0099113B" w:rsidP="00492055">
            <w:pPr>
              <w:jc w:val="left"/>
            </w:pPr>
            <w:r w:rsidRPr="00492055">
              <w:rPr>
                <w:lang w:val="fr-CH"/>
              </w:rPr>
              <w:t>Places de stationnement</w:t>
            </w:r>
          </w:p>
        </w:tc>
        <w:tc>
          <w:tcPr>
            <w:tcW w:w="239" w:type="dxa"/>
          </w:tcPr>
          <w:p w14:paraId="042AB22D" w14:textId="77777777" w:rsidR="00A65E20" w:rsidRDefault="00A65E20" w:rsidP="00D84A94"/>
        </w:tc>
        <w:tc>
          <w:tcPr>
            <w:tcW w:w="7567" w:type="dxa"/>
          </w:tcPr>
          <w:p w14:paraId="75022A48" w14:textId="07FCA42F" w:rsidR="0099113B" w:rsidRPr="00492055" w:rsidRDefault="0099113B" w:rsidP="00492055">
            <w:pPr>
              <w:tabs>
                <w:tab w:val="left" w:pos="810"/>
                <w:tab w:val="left" w:pos="940"/>
              </w:tabs>
              <w:spacing w:after="240"/>
              <w:ind w:right="176"/>
              <w:rPr>
                <w:lang w:val="fr-CH"/>
              </w:rPr>
            </w:pPr>
            <w:r w:rsidRPr="00492055">
              <w:rPr>
                <w:b/>
                <w:lang w:val="fr-CH"/>
              </w:rPr>
              <w:t xml:space="preserve">Art. </w:t>
            </w:r>
            <w:r w:rsidR="00F5502B">
              <w:rPr>
                <w:b/>
                <w:lang w:val="fr-CH"/>
              </w:rPr>
              <w:t>5</w:t>
            </w:r>
            <w:r w:rsidR="00614C09" w:rsidRPr="00492055">
              <w:rPr>
                <w:b/>
                <w:lang w:val="fr-CH"/>
              </w:rPr>
              <w:t>.</w:t>
            </w:r>
            <w:r w:rsidR="00614C09" w:rsidRPr="00492055">
              <w:rPr>
                <w:lang w:val="fr-CH"/>
              </w:rPr>
              <w:tab/>
            </w:r>
            <w:r w:rsidRPr="00492055">
              <w:rPr>
                <w:vertAlign w:val="superscript"/>
                <w:lang w:val="fr-CH"/>
              </w:rPr>
              <w:t>1</w:t>
            </w:r>
            <w:r w:rsidR="00500350" w:rsidRPr="00492055">
              <w:rPr>
                <w:lang w:val="fr-CH"/>
              </w:rPr>
              <w:tab/>
            </w:r>
            <w:r w:rsidRPr="00492055">
              <w:rPr>
                <w:lang w:val="fr-CH"/>
              </w:rPr>
              <w:t xml:space="preserve">Une contribution de remplacement est due en cas de dispense </w:t>
            </w:r>
            <w:r w:rsidR="00401FB8" w:rsidRPr="00492055">
              <w:rPr>
                <w:lang w:val="fr-CH"/>
              </w:rPr>
              <w:t xml:space="preserve">de </w:t>
            </w:r>
            <w:r w:rsidRPr="00492055">
              <w:rPr>
                <w:lang w:val="fr-CH"/>
              </w:rPr>
              <w:t>l'obligation d'aménager des places de stationnement.</w:t>
            </w:r>
          </w:p>
          <w:p w14:paraId="6F1D065D" w14:textId="77777777" w:rsidR="00A65E20" w:rsidRPr="00492055" w:rsidRDefault="0099113B" w:rsidP="00492055">
            <w:pPr>
              <w:tabs>
                <w:tab w:val="left" w:pos="177"/>
              </w:tabs>
              <w:spacing w:after="360"/>
              <w:rPr>
                <w:lang w:val="fr-CH"/>
              </w:rPr>
            </w:pPr>
            <w:r w:rsidRPr="00492055">
              <w:rPr>
                <w:vertAlign w:val="superscript"/>
                <w:lang w:val="fr-CH"/>
              </w:rPr>
              <w:t>2</w:t>
            </w:r>
            <w:r w:rsidR="004C56B8" w:rsidRPr="00492055">
              <w:rPr>
                <w:lang w:val="fr-CH"/>
              </w:rPr>
              <w:tab/>
            </w:r>
            <w:r w:rsidRPr="00492055">
              <w:rPr>
                <w:lang w:val="fr-CH"/>
              </w:rPr>
              <w:t>Le nombre de places requises est fixé par le règlement communal d’urbanisme.</w:t>
            </w:r>
          </w:p>
        </w:tc>
      </w:tr>
      <w:tr w:rsidR="00A65E20" w14:paraId="3CD4353C" w14:textId="77777777" w:rsidTr="00492055">
        <w:tc>
          <w:tcPr>
            <w:tcW w:w="1800" w:type="dxa"/>
          </w:tcPr>
          <w:p w14:paraId="1468F5CE" w14:textId="77777777" w:rsidR="00A65E20" w:rsidRDefault="00401FB8" w:rsidP="00492055">
            <w:pPr>
              <w:jc w:val="left"/>
            </w:pPr>
            <w:r w:rsidRPr="00492055">
              <w:rPr>
                <w:lang w:val="fr-CH"/>
              </w:rPr>
              <w:t>Places de jeu</w:t>
            </w:r>
            <w:r w:rsidR="00ED5B0C" w:rsidRPr="00492055">
              <w:rPr>
                <w:lang w:val="fr-CH"/>
              </w:rPr>
              <w:t>x</w:t>
            </w:r>
            <w:r w:rsidR="00C4764D" w:rsidRPr="00492055">
              <w:rPr>
                <w:lang w:val="fr-CH"/>
              </w:rPr>
              <w:t xml:space="preserve"> et de détente</w:t>
            </w:r>
          </w:p>
        </w:tc>
        <w:tc>
          <w:tcPr>
            <w:tcW w:w="239" w:type="dxa"/>
          </w:tcPr>
          <w:p w14:paraId="19AA92F1" w14:textId="77777777" w:rsidR="00A65E20" w:rsidRDefault="00A65E20" w:rsidP="00D84A94"/>
        </w:tc>
        <w:tc>
          <w:tcPr>
            <w:tcW w:w="7567" w:type="dxa"/>
          </w:tcPr>
          <w:p w14:paraId="3FD3D662" w14:textId="076B4BF5" w:rsidR="00A65E20" w:rsidRDefault="00401FB8" w:rsidP="00492055">
            <w:pPr>
              <w:tabs>
                <w:tab w:val="left" w:pos="810"/>
                <w:tab w:val="left" w:pos="940"/>
              </w:tabs>
              <w:spacing w:after="360"/>
              <w:ind w:right="176"/>
            </w:pPr>
            <w:r w:rsidRPr="00492055">
              <w:rPr>
                <w:b/>
                <w:lang w:val="fr-CH"/>
              </w:rPr>
              <w:t xml:space="preserve">Art. </w:t>
            </w:r>
            <w:r w:rsidR="00F5502B">
              <w:rPr>
                <w:b/>
                <w:lang w:val="fr-CH"/>
              </w:rPr>
              <w:t>6</w:t>
            </w:r>
            <w:r w:rsidR="00614C09" w:rsidRPr="00492055">
              <w:rPr>
                <w:b/>
                <w:lang w:val="fr-CH"/>
              </w:rPr>
              <w:t>.</w:t>
            </w:r>
            <w:r w:rsidR="00614C09" w:rsidRPr="00492055">
              <w:rPr>
                <w:lang w:val="fr-CH"/>
              </w:rPr>
              <w:tab/>
            </w:r>
            <w:r w:rsidR="00CE7EBC" w:rsidRPr="00CE7EBC">
              <w:rPr>
                <w:vertAlign w:val="superscript"/>
                <w:lang w:val="fr-CH"/>
              </w:rPr>
              <w:t>1</w:t>
            </w:r>
            <w:r w:rsidR="00CE7EBC">
              <w:rPr>
                <w:lang w:val="fr-CH"/>
              </w:rPr>
              <w:t xml:space="preserve"> </w:t>
            </w:r>
            <w:r w:rsidRPr="00492055">
              <w:rPr>
                <w:lang w:val="fr-CH"/>
              </w:rPr>
              <w:t xml:space="preserve">Une contribution de remplacement est due en cas de dispense de l'obligation d'aménager des places de jeux </w:t>
            </w:r>
            <w:r w:rsidR="0096711C" w:rsidRPr="00492055">
              <w:rPr>
                <w:lang w:val="fr-CH"/>
              </w:rPr>
              <w:t>ou</w:t>
            </w:r>
            <w:r w:rsidRPr="00492055">
              <w:rPr>
                <w:lang w:val="fr-CH"/>
              </w:rPr>
              <w:t xml:space="preserve"> de détente telle que prévue par l’article 63 </w:t>
            </w:r>
            <w:proofErr w:type="spellStart"/>
            <w:r w:rsidRPr="00492055">
              <w:rPr>
                <w:lang w:val="fr-CH"/>
              </w:rPr>
              <w:t>ReLATeC</w:t>
            </w:r>
            <w:proofErr w:type="spellEnd"/>
            <w:r w:rsidRPr="00492055">
              <w:rPr>
                <w:lang w:val="fr-CH"/>
              </w:rPr>
              <w:t>.</w:t>
            </w:r>
          </w:p>
        </w:tc>
      </w:tr>
      <w:tr w:rsidR="00A65E20" w14:paraId="6B9C6CBF" w14:textId="77777777" w:rsidTr="00492055">
        <w:tc>
          <w:tcPr>
            <w:tcW w:w="1800" w:type="dxa"/>
          </w:tcPr>
          <w:p w14:paraId="340B0B26" w14:textId="77777777" w:rsidR="00A65E20" w:rsidRDefault="00401FB8" w:rsidP="00492055">
            <w:pPr>
              <w:jc w:val="left"/>
            </w:pPr>
            <w:r w:rsidRPr="00492055">
              <w:rPr>
                <w:lang w:val="fr-CH"/>
              </w:rPr>
              <w:t>Mode de calcul et montants</w:t>
            </w:r>
          </w:p>
        </w:tc>
        <w:tc>
          <w:tcPr>
            <w:tcW w:w="239" w:type="dxa"/>
          </w:tcPr>
          <w:p w14:paraId="26B78E2B" w14:textId="77777777" w:rsidR="00A65E20" w:rsidRDefault="00A65E20" w:rsidP="00D84A94"/>
        </w:tc>
        <w:tc>
          <w:tcPr>
            <w:tcW w:w="7567" w:type="dxa"/>
          </w:tcPr>
          <w:p w14:paraId="6AD5C788" w14:textId="5FAAC3B8" w:rsidR="00A65E20" w:rsidRPr="00492055" w:rsidRDefault="00401FB8" w:rsidP="00492055">
            <w:pPr>
              <w:tabs>
                <w:tab w:val="left" w:pos="810"/>
                <w:tab w:val="left" w:pos="940"/>
              </w:tabs>
              <w:spacing w:after="240"/>
              <w:ind w:right="176"/>
              <w:rPr>
                <w:lang w:val="fr-CH"/>
              </w:rPr>
            </w:pPr>
            <w:r w:rsidRPr="00492055">
              <w:rPr>
                <w:b/>
                <w:lang w:val="fr-CH"/>
              </w:rPr>
              <w:t xml:space="preserve">Art. </w:t>
            </w:r>
            <w:r w:rsidR="00F5502B">
              <w:rPr>
                <w:b/>
                <w:lang w:val="fr-CH"/>
              </w:rPr>
              <w:t>7</w:t>
            </w:r>
            <w:r w:rsidR="00614C09" w:rsidRPr="00492055">
              <w:rPr>
                <w:b/>
                <w:lang w:val="fr-CH"/>
              </w:rPr>
              <w:t>.</w:t>
            </w:r>
            <w:r w:rsidR="00614C09" w:rsidRPr="00492055">
              <w:rPr>
                <w:lang w:val="fr-CH"/>
              </w:rPr>
              <w:tab/>
            </w:r>
            <w:r w:rsidRPr="00492055">
              <w:rPr>
                <w:vertAlign w:val="superscript"/>
                <w:lang w:val="fr-CH"/>
              </w:rPr>
              <w:t>1</w:t>
            </w:r>
            <w:r w:rsidR="00500350" w:rsidRPr="00492055">
              <w:rPr>
                <w:lang w:val="fr-CH"/>
              </w:rPr>
              <w:tab/>
            </w:r>
            <w:r w:rsidRPr="00492055">
              <w:rPr>
                <w:lang w:val="fr-CH"/>
              </w:rPr>
              <w:t xml:space="preserve">Les contributions de remplacement prévues aux articles </w:t>
            </w:r>
            <w:r w:rsidR="0068175A">
              <w:rPr>
                <w:lang w:val="fr-CH"/>
              </w:rPr>
              <w:t>5</w:t>
            </w:r>
            <w:r w:rsidRPr="00492055">
              <w:rPr>
                <w:lang w:val="fr-CH"/>
              </w:rPr>
              <w:t xml:space="preserve"> et </w:t>
            </w:r>
            <w:r w:rsidR="0068175A">
              <w:rPr>
                <w:lang w:val="fr-CH"/>
              </w:rPr>
              <w:t>6</w:t>
            </w:r>
            <w:r w:rsidRPr="00492055">
              <w:rPr>
                <w:lang w:val="fr-CH"/>
              </w:rPr>
              <w:t xml:space="preserve"> sont calculées respecti</w:t>
            </w:r>
            <w:r w:rsidR="00110D5D" w:rsidRPr="00492055">
              <w:rPr>
                <w:lang w:val="fr-CH"/>
              </w:rPr>
              <w:t>vement par rapport au nombre de</w:t>
            </w:r>
            <w:r w:rsidRPr="00492055">
              <w:rPr>
                <w:lang w:val="fr-CH"/>
              </w:rPr>
              <w:t xml:space="preserve"> places de stationnement et à la surface des places de jeux qui devraient être aménagées</w:t>
            </w:r>
            <w:r w:rsidR="00C424CB" w:rsidRPr="00492055">
              <w:rPr>
                <w:lang w:val="fr-CH"/>
              </w:rPr>
              <w:t>.</w:t>
            </w:r>
          </w:p>
          <w:p w14:paraId="2654AA4A" w14:textId="77777777" w:rsidR="00401FB8" w:rsidRPr="00492055" w:rsidRDefault="00401FB8" w:rsidP="00492055">
            <w:pPr>
              <w:tabs>
                <w:tab w:val="left" w:pos="177"/>
              </w:tabs>
              <w:spacing w:after="240"/>
              <w:rPr>
                <w:lang w:val="fr-CH"/>
              </w:rPr>
            </w:pPr>
            <w:r w:rsidRPr="00492055">
              <w:rPr>
                <w:vertAlign w:val="superscript"/>
                <w:lang w:val="fr-CH"/>
              </w:rPr>
              <w:t>2</w:t>
            </w:r>
            <w:r w:rsidR="004C56B8" w:rsidRPr="00492055">
              <w:rPr>
                <w:lang w:val="fr-CH"/>
              </w:rPr>
              <w:tab/>
            </w:r>
            <w:r w:rsidRPr="00492055">
              <w:rPr>
                <w:lang w:val="fr-CH"/>
              </w:rPr>
              <w:t>La contribution par place de stationnement est de Fr. ...</w:t>
            </w:r>
          </w:p>
          <w:p w14:paraId="1915925B" w14:textId="77777777" w:rsidR="00401FB8" w:rsidRPr="00492055" w:rsidRDefault="00401FB8" w:rsidP="00492055">
            <w:pPr>
              <w:tabs>
                <w:tab w:val="left" w:pos="177"/>
              </w:tabs>
              <w:spacing w:after="360"/>
              <w:rPr>
                <w:lang w:val="fr-CH"/>
              </w:rPr>
            </w:pPr>
            <w:r w:rsidRPr="00492055">
              <w:rPr>
                <w:vertAlign w:val="superscript"/>
                <w:lang w:val="fr-CH"/>
              </w:rPr>
              <w:t>3</w:t>
            </w:r>
            <w:r w:rsidR="004C56B8" w:rsidRPr="00492055">
              <w:rPr>
                <w:lang w:val="fr-CH"/>
              </w:rPr>
              <w:tab/>
            </w:r>
            <w:r w:rsidRPr="00492055">
              <w:rPr>
                <w:lang w:val="fr-CH"/>
              </w:rPr>
              <w:t>La contribution par m</w:t>
            </w:r>
            <w:r w:rsidRPr="00492055">
              <w:rPr>
                <w:vertAlign w:val="superscript"/>
                <w:lang w:val="fr-CH"/>
              </w:rPr>
              <w:t>2</w:t>
            </w:r>
            <w:r w:rsidRPr="00492055">
              <w:rPr>
                <w:lang w:val="fr-CH"/>
              </w:rPr>
              <w:t xml:space="preserve"> de place de jeu</w:t>
            </w:r>
            <w:r w:rsidR="00110D5D" w:rsidRPr="00492055">
              <w:rPr>
                <w:lang w:val="fr-CH"/>
              </w:rPr>
              <w:t>x</w:t>
            </w:r>
            <w:r w:rsidR="0096711C" w:rsidRPr="00492055">
              <w:rPr>
                <w:lang w:val="fr-CH"/>
              </w:rPr>
              <w:t xml:space="preserve"> ou de détente</w:t>
            </w:r>
            <w:r w:rsidRPr="00492055">
              <w:rPr>
                <w:lang w:val="fr-CH"/>
              </w:rPr>
              <w:t xml:space="preserve"> est de Fr. ...</w:t>
            </w:r>
          </w:p>
        </w:tc>
      </w:tr>
      <w:tr w:rsidR="00A65E20" w14:paraId="3A28A874" w14:textId="77777777" w:rsidTr="00492055">
        <w:tc>
          <w:tcPr>
            <w:tcW w:w="1800" w:type="dxa"/>
          </w:tcPr>
          <w:p w14:paraId="6B04C45C" w14:textId="77777777" w:rsidR="00A65E20" w:rsidRDefault="00A65E20" w:rsidP="00492055">
            <w:pPr>
              <w:jc w:val="left"/>
            </w:pPr>
          </w:p>
        </w:tc>
        <w:tc>
          <w:tcPr>
            <w:tcW w:w="239" w:type="dxa"/>
          </w:tcPr>
          <w:p w14:paraId="30EDE9B2" w14:textId="77777777" w:rsidR="00A65E20" w:rsidRDefault="00A65E20" w:rsidP="00D84A94"/>
        </w:tc>
        <w:tc>
          <w:tcPr>
            <w:tcW w:w="7567" w:type="dxa"/>
          </w:tcPr>
          <w:p w14:paraId="322B1746" w14:textId="77777777" w:rsidR="00A65E20" w:rsidRPr="00492055" w:rsidRDefault="00401FB8" w:rsidP="00492055">
            <w:pPr>
              <w:spacing w:after="240"/>
              <w:ind w:left="357" w:hanging="357"/>
              <w:rPr>
                <w:lang w:val="fr-CH"/>
              </w:rPr>
            </w:pPr>
            <w:r w:rsidRPr="00492055">
              <w:rPr>
                <w:b/>
              </w:rPr>
              <w:t>IV.</w:t>
            </w:r>
            <w:r w:rsidRPr="00401FB8">
              <w:tab/>
            </w:r>
            <w:r w:rsidRPr="00492055">
              <w:rPr>
                <w:b/>
                <w:caps/>
                <w:lang w:val="fr-CH"/>
              </w:rPr>
              <w:t>Dispositions</w:t>
            </w:r>
            <w:r w:rsidRPr="00492055">
              <w:rPr>
                <w:caps/>
              </w:rPr>
              <w:t xml:space="preserve"> </w:t>
            </w:r>
            <w:r w:rsidRPr="00492055">
              <w:rPr>
                <w:b/>
                <w:caps/>
              </w:rPr>
              <w:t>communes</w:t>
            </w:r>
          </w:p>
        </w:tc>
      </w:tr>
      <w:tr w:rsidR="00A65E20" w14:paraId="7810EB57" w14:textId="77777777" w:rsidTr="00492055">
        <w:trPr>
          <w:trHeight w:val="278"/>
        </w:trPr>
        <w:tc>
          <w:tcPr>
            <w:tcW w:w="1800" w:type="dxa"/>
          </w:tcPr>
          <w:p w14:paraId="44D343AE" w14:textId="77777777" w:rsidR="00A65E20" w:rsidRDefault="00401FB8" w:rsidP="00492055">
            <w:pPr>
              <w:jc w:val="left"/>
            </w:pPr>
            <w:r w:rsidRPr="00492055">
              <w:rPr>
                <w:lang w:val="fr-CH"/>
              </w:rPr>
              <w:t>Exigibilité</w:t>
            </w:r>
          </w:p>
        </w:tc>
        <w:tc>
          <w:tcPr>
            <w:tcW w:w="239" w:type="dxa"/>
          </w:tcPr>
          <w:p w14:paraId="77D8465F" w14:textId="77777777" w:rsidR="00A65E20" w:rsidRDefault="00A65E20" w:rsidP="00D84A94"/>
        </w:tc>
        <w:tc>
          <w:tcPr>
            <w:tcW w:w="7567" w:type="dxa"/>
          </w:tcPr>
          <w:p w14:paraId="3F109463" w14:textId="3D504588" w:rsidR="00BE16B6" w:rsidRPr="00492055" w:rsidRDefault="00401FB8" w:rsidP="00492055">
            <w:pPr>
              <w:tabs>
                <w:tab w:val="left" w:pos="810"/>
                <w:tab w:val="left" w:pos="940"/>
              </w:tabs>
              <w:spacing w:after="240"/>
              <w:ind w:right="176"/>
              <w:rPr>
                <w:lang w:val="fr-CH"/>
              </w:rPr>
            </w:pPr>
            <w:r w:rsidRPr="00492055">
              <w:rPr>
                <w:b/>
                <w:lang w:val="fr-CH"/>
              </w:rPr>
              <w:t xml:space="preserve">Art. </w:t>
            </w:r>
            <w:r w:rsidR="00F5502B">
              <w:rPr>
                <w:b/>
                <w:lang w:val="fr-CH"/>
              </w:rPr>
              <w:t>8</w:t>
            </w:r>
            <w:r w:rsidR="00614C09" w:rsidRPr="00492055">
              <w:rPr>
                <w:b/>
                <w:lang w:val="fr-CH"/>
              </w:rPr>
              <w:t>.</w:t>
            </w:r>
            <w:r w:rsidR="00614C09" w:rsidRPr="00492055">
              <w:rPr>
                <w:lang w:val="fr-CH"/>
              </w:rPr>
              <w:tab/>
            </w:r>
            <w:r w:rsidRPr="00492055">
              <w:rPr>
                <w:vertAlign w:val="superscript"/>
                <w:lang w:val="fr-CH"/>
              </w:rPr>
              <w:t>1</w:t>
            </w:r>
            <w:r w:rsidR="00500350" w:rsidRPr="00492055">
              <w:rPr>
                <w:lang w:val="fr-CH"/>
              </w:rPr>
              <w:tab/>
            </w:r>
            <w:r w:rsidRPr="00492055">
              <w:rPr>
                <w:lang w:val="fr-CH"/>
              </w:rPr>
              <w:t>Pour les prestations mentionnées à l’article 3 al. 1, le montant des émoluments est exigible dès l'approbation du plan d'aménagement de détail, dès la délivrance du permis, dès le contrôle des travaux, respectivement, dès l’octroi du permis d’occuper.</w:t>
            </w:r>
          </w:p>
          <w:p w14:paraId="7A1966C3" w14:textId="77777777" w:rsidR="00EE3DF9" w:rsidRPr="00492055" w:rsidRDefault="00401FB8" w:rsidP="00492055">
            <w:pPr>
              <w:tabs>
                <w:tab w:val="left" w:pos="177"/>
              </w:tabs>
              <w:spacing w:after="240"/>
              <w:rPr>
                <w:lang w:val="fr-CH"/>
              </w:rPr>
            </w:pPr>
            <w:r w:rsidRPr="00492055">
              <w:rPr>
                <w:vertAlign w:val="superscript"/>
                <w:lang w:val="fr-CH"/>
              </w:rPr>
              <w:t>2</w:t>
            </w:r>
            <w:r w:rsidR="004C56B8" w:rsidRPr="00492055">
              <w:rPr>
                <w:lang w:val="fr-CH"/>
              </w:rPr>
              <w:tab/>
            </w:r>
            <w:r w:rsidRPr="00492055">
              <w:rPr>
                <w:lang w:val="fr-CH"/>
              </w:rPr>
              <w:t>Pour la demande préalable, l'émolument est exigible au plus tard six mois après l'envoi du rapport d'examen si la demande définitive n'est pas déposée dans ce même délai.</w:t>
            </w:r>
          </w:p>
          <w:p w14:paraId="3B884E03" w14:textId="77777777" w:rsidR="00D9545B" w:rsidRPr="00492055" w:rsidRDefault="00401FB8" w:rsidP="00492055">
            <w:pPr>
              <w:tabs>
                <w:tab w:val="left" w:pos="177"/>
              </w:tabs>
              <w:spacing w:after="240"/>
              <w:rPr>
                <w:lang w:val="fr-CH"/>
              </w:rPr>
            </w:pPr>
            <w:r w:rsidRPr="00492055">
              <w:rPr>
                <w:vertAlign w:val="superscript"/>
                <w:lang w:val="fr-CH"/>
              </w:rPr>
              <w:t>3</w:t>
            </w:r>
            <w:r w:rsidR="004C56B8" w:rsidRPr="00492055">
              <w:rPr>
                <w:lang w:val="fr-CH"/>
              </w:rPr>
              <w:tab/>
            </w:r>
            <w:r w:rsidRPr="00492055">
              <w:rPr>
                <w:lang w:val="fr-CH"/>
              </w:rPr>
              <w:t>Le montant des contributions de remplacement est dû dès la délivrance du permis.</w:t>
            </w:r>
          </w:p>
          <w:p w14:paraId="772596A3" w14:textId="77777777" w:rsidR="00A65E20" w:rsidRPr="00492055" w:rsidRDefault="00401FB8" w:rsidP="00492055">
            <w:pPr>
              <w:tabs>
                <w:tab w:val="left" w:pos="177"/>
              </w:tabs>
              <w:spacing w:after="360"/>
              <w:rPr>
                <w:lang w:val="fr-CH"/>
              </w:rPr>
            </w:pPr>
            <w:r w:rsidRPr="00492055">
              <w:rPr>
                <w:vertAlign w:val="superscript"/>
                <w:lang w:val="fr-CH"/>
              </w:rPr>
              <w:t>4</w:t>
            </w:r>
            <w:r w:rsidR="004C56B8" w:rsidRPr="00492055">
              <w:rPr>
                <w:lang w:val="fr-CH"/>
              </w:rPr>
              <w:tab/>
            </w:r>
            <w:r w:rsidRPr="00492055">
              <w:rPr>
                <w:lang w:val="fr-CH"/>
              </w:rPr>
              <w:t>Toute contribution non payée à l’échéance porte intérêt au</w:t>
            </w:r>
            <w:r w:rsidR="00CE7EBC">
              <w:rPr>
                <w:lang w:val="fr-CH"/>
              </w:rPr>
              <w:t xml:space="preserve"> même</w:t>
            </w:r>
            <w:r w:rsidRPr="00492055">
              <w:rPr>
                <w:lang w:val="fr-CH"/>
              </w:rPr>
              <w:t xml:space="preserve"> taux</w:t>
            </w:r>
            <w:r w:rsidR="00CE7EBC">
              <w:rPr>
                <w:lang w:val="fr-CH"/>
              </w:rPr>
              <w:t xml:space="preserve"> que celui fixé pour </w:t>
            </w:r>
            <w:r w:rsidRPr="00492055">
              <w:rPr>
                <w:lang w:val="fr-CH"/>
              </w:rPr>
              <w:t>l’impôt sur le revenu et la fortune des personnes physiques.</w:t>
            </w:r>
          </w:p>
        </w:tc>
      </w:tr>
    </w:tbl>
    <w:p w14:paraId="6251A9B1" w14:textId="77777777" w:rsidR="00F5502B" w:rsidRDefault="00F5502B">
      <w:r>
        <w:br w:type="page"/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1800"/>
        <w:gridCol w:w="239"/>
        <w:gridCol w:w="7567"/>
      </w:tblGrid>
      <w:tr w:rsidR="00A65E20" w14:paraId="67CA3718" w14:textId="77777777" w:rsidTr="00492055">
        <w:trPr>
          <w:trHeight w:val="1044"/>
        </w:trPr>
        <w:tc>
          <w:tcPr>
            <w:tcW w:w="1800" w:type="dxa"/>
          </w:tcPr>
          <w:p w14:paraId="3C2159D3" w14:textId="48E3B2DD" w:rsidR="00A65E20" w:rsidRDefault="00401FB8" w:rsidP="00492055">
            <w:pPr>
              <w:jc w:val="left"/>
            </w:pPr>
            <w:r w:rsidRPr="00492055">
              <w:rPr>
                <w:lang w:val="fr-CH"/>
              </w:rPr>
              <w:lastRenderedPageBreak/>
              <w:t>Voies de droit</w:t>
            </w:r>
          </w:p>
        </w:tc>
        <w:tc>
          <w:tcPr>
            <w:tcW w:w="239" w:type="dxa"/>
          </w:tcPr>
          <w:p w14:paraId="667FB8CF" w14:textId="77777777" w:rsidR="00A65E20" w:rsidRDefault="00A65E20" w:rsidP="00D84A94"/>
        </w:tc>
        <w:tc>
          <w:tcPr>
            <w:tcW w:w="7567" w:type="dxa"/>
          </w:tcPr>
          <w:p w14:paraId="4CE1D024" w14:textId="62A061C4" w:rsidR="00401FB8" w:rsidRPr="00492055" w:rsidRDefault="00614C09" w:rsidP="00492055">
            <w:pPr>
              <w:tabs>
                <w:tab w:val="left" w:pos="810"/>
                <w:tab w:val="left" w:pos="940"/>
              </w:tabs>
              <w:spacing w:after="240"/>
              <w:ind w:right="176"/>
              <w:rPr>
                <w:lang w:val="fr-CH"/>
              </w:rPr>
            </w:pPr>
            <w:r w:rsidRPr="00492055">
              <w:rPr>
                <w:b/>
                <w:lang w:val="fr-CH"/>
              </w:rPr>
              <w:t xml:space="preserve">Art. </w:t>
            </w:r>
            <w:r w:rsidR="00F5502B">
              <w:rPr>
                <w:b/>
                <w:lang w:val="fr-CH"/>
              </w:rPr>
              <w:t>9</w:t>
            </w:r>
            <w:r w:rsidRPr="00492055">
              <w:rPr>
                <w:b/>
                <w:lang w:val="fr-CH"/>
              </w:rPr>
              <w:t>.</w:t>
            </w:r>
            <w:r w:rsidRPr="00492055">
              <w:rPr>
                <w:lang w:val="fr-CH"/>
              </w:rPr>
              <w:tab/>
            </w:r>
            <w:r w:rsidR="00401FB8" w:rsidRPr="00492055">
              <w:rPr>
                <w:vertAlign w:val="superscript"/>
                <w:lang w:val="fr-CH"/>
              </w:rPr>
              <w:t>1</w:t>
            </w:r>
            <w:r w:rsidR="00500350" w:rsidRPr="00492055">
              <w:rPr>
                <w:lang w:val="fr-CH"/>
              </w:rPr>
              <w:tab/>
            </w:r>
            <w:r w:rsidR="00401FB8" w:rsidRPr="00492055">
              <w:rPr>
                <w:lang w:val="fr-CH"/>
              </w:rPr>
              <w:t xml:space="preserve">Les réclamations concernant l'assujettissement aux </w:t>
            </w:r>
            <w:r w:rsidR="00CE7EBC">
              <w:rPr>
                <w:lang w:val="fr-CH"/>
              </w:rPr>
              <w:t>taxes</w:t>
            </w:r>
            <w:r w:rsidR="00401FB8" w:rsidRPr="00492055">
              <w:rPr>
                <w:lang w:val="fr-CH"/>
              </w:rPr>
              <w:t xml:space="preserve"> prévues </w:t>
            </w:r>
            <w:r w:rsidR="00CE7EBC">
              <w:rPr>
                <w:lang w:val="fr-CH"/>
              </w:rPr>
              <w:t>par ce</w:t>
            </w:r>
            <w:r w:rsidR="00401FB8" w:rsidRPr="00492055">
              <w:rPr>
                <w:lang w:val="fr-CH"/>
              </w:rPr>
              <w:t xml:space="preserve"> règlement ou </w:t>
            </w:r>
            <w:r w:rsidR="00CE7EBC">
              <w:rPr>
                <w:lang w:val="fr-CH"/>
              </w:rPr>
              <w:t>leur montant</w:t>
            </w:r>
            <w:r w:rsidR="00401FB8" w:rsidRPr="00492055">
              <w:rPr>
                <w:lang w:val="fr-CH"/>
              </w:rPr>
              <w:t xml:space="preserve"> sont adressées par </w:t>
            </w:r>
            <w:r w:rsidR="00BF52B9" w:rsidRPr="00492055">
              <w:rPr>
                <w:lang w:val="fr-CH"/>
              </w:rPr>
              <w:t>écrit et motivées au c</w:t>
            </w:r>
            <w:r w:rsidR="00FF5421" w:rsidRPr="00492055">
              <w:rPr>
                <w:lang w:val="fr-CH"/>
              </w:rPr>
              <w:t>onseil com</w:t>
            </w:r>
            <w:r w:rsidR="00401FB8" w:rsidRPr="00492055">
              <w:rPr>
                <w:lang w:val="fr-CH"/>
              </w:rPr>
              <w:t>munal, dans les 30 jours dès réception du bordereau.</w:t>
            </w:r>
          </w:p>
          <w:p w14:paraId="0DFAC0FC" w14:textId="77777777" w:rsidR="00A65E20" w:rsidRPr="00492055" w:rsidRDefault="00401FB8" w:rsidP="00492055">
            <w:pPr>
              <w:tabs>
                <w:tab w:val="left" w:pos="177"/>
              </w:tabs>
              <w:spacing w:after="360"/>
              <w:rPr>
                <w:lang w:val="fr-CH"/>
              </w:rPr>
            </w:pPr>
            <w:r w:rsidRPr="00492055">
              <w:rPr>
                <w:vertAlign w:val="superscript"/>
                <w:lang w:val="fr-CH"/>
              </w:rPr>
              <w:t>2</w:t>
            </w:r>
            <w:r w:rsidR="004C56B8" w:rsidRPr="00492055">
              <w:rPr>
                <w:lang w:val="fr-CH"/>
              </w:rPr>
              <w:tab/>
            </w:r>
            <w:r w:rsidRPr="00492055">
              <w:rPr>
                <w:lang w:val="fr-CH"/>
              </w:rPr>
              <w:t>La décision sur réclamation est susceptible d'un recours auprès du préfet dans les 30 jours dès la réception.</w:t>
            </w:r>
          </w:p>
        </w:tc>
      </w:tr>
      <w:tr w:rsidR="00A65E20" w14:paraId="32EF7BF7" w14:textId="77777777" w:rsidTr="00492055">
        <w:tc>
          <w:tcPr>
            <w:tcW w:w="1800" w:type="dxa"/>
          </w:tcPr>
          <w:p w14:paraId="53B092B9" w14:textId="77777777" w:rsidR="00A65E20" w:rsidRDefault="00A65E20" w:rsidP="00492055">
            <w:pPr>
              <w:jc w:val="left"/>
            </w:pPr>
          </w:p>
        </w:tc>
        <w:tc>
          <w:tcPr>
            <w:tcW w:w="239" w:type="dxa"/>
          </w:tcPr>
          <w:p w14:paraId="37F9987A" w14:textId="77777777" w:rsidR="00A65E20" w:rsidRDefault="00A65E20" w:rsidP="00D84A94"/>
        </w:tc>
        <w:tc>
          <w:tcPr>
            <w:tcW w:w="7567" w:type="dxa"/>
          </w:tcPr>
          <w:p w14:paraId="7D5B4EEB" w14:textId="77777777" w:rsidR="00A65E20" w:rsidRPr="00492055" w:rsidRDefault="00401FB8" w:rsidP="00492055">
            <w:pPr>
              <w:spacing w:after="240"/>
              <w:ind w:left="414" w:hanging="425"/>
              <w:rPr>
                <w:lang w:val="fr-CH"/>
              </w:rPr>
            </w:pPr>
            <w:r w:rsidRPr="00492055">
              <w:rPr>
                <w:b/>
                <w:lang w:val="fr-CH"/>
              </w:rPr>
              <w:t>V.</w:t>
            </w:r>
            <w:r w:rsidRPr="00492055">
              <w:rPr>
                <w:lang w:val="fr-CH"/>
              </w:rPr>
              <w:tab/>
            </w:r>
            <w:r w:rsidRPr="00492055">
              <w:rPr>
                <w:b/>
                <w:caps/>
                <w:lang w:val="fr-CH"/>
              </w:rPr>
              <w:t>Dispositions finales</w:t>
            </w:r>
          </w:p>
        </w:tc>
      </w:tr>
      <w:tr w:rsidR="00401FB8" w:rsidRPr="00492055" w14:paraId="46175512" w14:textId="77777777" w:rsidTr="00492055">
        <w:tc>
          <w:tcPr>
            <w:tcW w:w="1800" w:type="dxa"/>
          </w:tcPr>
          <w:p w14:paraId="28739078" w14:textId="1D580BDB" w:rsidR="00401FB8" w:rsidRDefault="00401FB8" w:rsidP="00492055">
            <w:pPr>
              <w:spacing w:after="360"/>
              <w:jc w:val="left"/>
            </w:pPr>
            <w:r w:rsidRPr="00492055">
              <w:rPr>
                <w:lang w:val="fr-CH"/>
              </w:rPr>
              <w:t>Abrogation</w:t>
            </w:r>
          </w:p>
        </w:tc>
        <w:tc>
          <w:tcPr>
            <w:tcW w:w="239" w:type="dxa"/>
          </w:tcPr>
          <w:p w14:paraId="747A07FC" w14:textId="77777777" w:rsidR="00401FB8" w:rsidRDefault="00401FB8" w:rsidP="00D84A94"/>
        </w:tc>
        <w:tc>
          <w:tcPr>
            <w:tcW w:w="7567" w:type="dxa"/>
          </w:tcPr>
          <w:p w14:paraId="4CC010BC" w14:textId="71E7CA3B" w:rsidR="00DD78C1" w:rsidRPr="00F5502B" w:rsidRDefault="00401FB8" w:rsidP="00DD78C1">
            <w:pPr>
              <w:tabs>
                <w:tab w:val="left" w:pos="796"/>
                <w:tab w:val="left" w:pos="938"/>
              </w:tabs>
              <w:rPr>
                <w:b/>
                <w:lang w:val="fr-CH"/>
              </w:rPr>
            </w:pPr>
            <w:r w:rsidRPr="00492055">
              <w:rPr>
                <w:b/>
                <w:lang w:val="fr-CH"/>
              </w:rPr>
              <w:t>Art. 1</w:t>
            </w:r>
            <w:r w:rsidR="00F5502B">
              <w:rPr>
                <w:b/>
                <w:lang w:val="fr-CH"/>
              </w:rPr>
              <w:t>0</w:t>
            </w:r>
            <w:r w:rsidR="00614C09" w:rsidRPr="00492055">
              <w:rPr>
                <w:b/>
                <w:lang w:val="fr-CH"/>
              </w:rPr>
              <w:t>.</w:t>
            </w:r>
            <w:r w:rsidR="00614C09" w:rsidRPr="00492055">
              <w:rPr>
                <w:lang w:val="fr-CH"/>
              </w:rPr>
              <w:tab/>
            </w:r>
            <w:r w:rsidR="00D111B2" w:rsidRPr="00492055">
              <w:rPr>
                <w:lang w:val="fr-CH"/>
              </w:rPr>
              <w:tab/>
            </w:r>
            <w:r w:rsidR="00F2496E" w:rsidRPr="00F2496E">
              <w:rPr>
                <w:vertAlign w:val="superscript"/>
                <w:lang w:val="fr-CH"/>
              </w:rPr>
              <w:t>1</w:t>
            </w:r>
            <w:r w:rsidR="00F2496E">
              <w:rPr>
                <w:lang w:val="fr-CH"/>
              </w:rPr>
              <w:t xml:space="preserve"> </w:t>
            </w:r>
            <w:r w:rsidRPr="00492055">
              <w:rPr>
                <w:lang w:val="fr-CH"/>
              </w:rPr>
              <w:t>Le règlement du</w:t>
            </w:r>
            <w:r w:rsidR="004B266D" w:rsidRPr="00492055">
              <w:rPr>
                <w:lang w:val="fr-CH"/>
              </w:rPr>
              <w:t xml:space="preserve"> ..</w:t>
            </w:r>
            <w:r w:rsidRPr="00492055">
              <w:rPr>
                <w:lang w:val="fr-CH"/>
              </w:rPr>
              <w:t>.</w:t>
            </w:r>
            <w:r w:rsidR="004B266D" w:rsidRPr="00492055">
              <w:rPr>
                <w:lang w:val="fr-CH"/>
              </w:rPr>
              <w:t xml:space="preserve"> </w:t>
            </w:r>
            <w:r w:rsidR="00CE7EBC">
              <w:rPr>
                <w:lang w:val="fr-CH"/>
              </w:rPr>
              <w:t>sur ...</w:t>
            </w:r>
            <w:r w:rsidRPr="00492055">
              <w:rPr>
                <w:lang w:val="fr-CH"/>
              </w:rPr>
              <w:t xml:space="preserve"> </w:t>
            </w:r>
            <w:r w:rsidR="00CE7EBC">
              <w:rPr>
                <w:lang w:val="fr-CH"/>
              </w:rPr>
              <w:t>est abrogé</w:t>
            </w:r>
            <w:r w:rsidRPr="00492055">
              <w:rPr>
                <w:lang w:val="fr-CH"/>
              </w:rPr>
              <w:t>.</w:t>
            </w:r>
          </w:p>
          <w:p w14:paraId="089137D3" w14:textId="7F4EDC94" w:rsidR="00401FB8" w:rsidRPr="00492055" w:rsidRDefault="00401FB8" w:rsidP="00CE7EBC">
            <w:pPr>
              <w:tabs>
                <w:tab w:val="left" w:pos="796"/>
                <w:tab w:val="left" w:pos="938"/>
              </w:tabs>
              <w:rPr>
                <w:b/>
                <w:lang w:val="fr-CH"/>
              </w:rPr>
            </w:pPr>
          </w:p>
        </w:tc>
      </w:tr>
      <w:tr w:rsidR="00401FB8" w14:paraId="449BBAE7" w14:textId="77777777" w:rsidTr="00492055">
        <w:tc>
          <w:tcPr>
            <w:tcW w:w="1800" w:type="dxa"/>
          </w:tcPr>
          <w:p w14:paraId="08276EF5" w14:textId="77777777" w:rsidR="00401FB8" w:rsidRDefault="00401FB8" w:rsidP="00492055">
            <w:pPr>
              <w:jc w:val="left"/>
            </w:pPr>
            <w:r w:rsidRPr="00492055">
              <w:rPr>
                <w:lang w:val="fr-CH"/>
              </w:rPr>
              <w:t>Entrée en vigueur</w:t>
            </w:r>
          </w:p>
        </w:tc>
        <w:tc>
          <w:tcPr>
            <w:tcW w:w="239" w:type="dxa"/>
          </w:tcPr>
          <w:p w14:paraId="6BD85131" w14:textId="77777777" w:rsidR="00401FB8" w:rsidRDefault="00401FB8" w:rsidP="00D84A94"/>
        </w:tc>
        <w:tc>
          <w:tcPr>
            <w:tcW w:w="7567" w:type="dxa"/>
          </w:tcPr>
          <w:p w14:paraId="64AFBABC" w14:textId="7EB68234" w:rsidR="00401FB8" w:rsidRPr="00492055" w:rsidRDefault="00401FB8" w:rsidP="00492055">
            <w:pPr>
              <w:tabs>
                <w:tab w:val="left" w:pos="796"/>
                <w:tab w:val="left" w:pos="938"/>
              </w:tabs>
              <w:spacing w:after="1000"/>
              <w:rPr>
                <w:lang w:val="fr-CH"/>
              </w:rPr>
            </w:pPr>
            <w:r w:rsidRPr="00492055">
              <w:rPr>
                <w:b/>
                <w:lang w:val="fr-CH"/>
              </w:rPr>
              <w:t>Art. 1</w:t>
            </w:r>
            <w:r w:rsidR="00F5502B">
              <w:rPr>
                <w:b/>
                <w:lang w:val="fr-CH"/>
              </w:rPr>
              <w:t>1</w:t>
            </w:r>
            <w:r w:rsidR="00614C09" w:rsidRPr="00492055">
              <w:rPr>
                <w:b/>
                <w:lang w:val="fr-CH"/>
              </w:rPr>
              <w:t>.</w:t>
            </w:r>
            <w:r w:rsidR="00614C09" w:rsidRPr="00492055">
              <w:rPr>
                <w:lang w:val="fr-CH"/>
              </w:rPr>
              <w:tab/>
            </w:r>
            <w:r w:rsidR="00D111B2" w:rsidRPr="00492055">
              <w:rPr>
                <w:lang w:val="fr-CH"/>
              </w:rPr>
              <w:tab/>
            </w:r>
            <w:r w:rsidR="00F2496E">
              <w:rPr>
                <w:vertAlign w:val="superscript"/>
                <w:lang w:val="fr-CH"/>
              </w:rPr>
              <w:t>1</w:t>
            </w:r>
            <w:r w:rsidR="00F2496E">
              <w:rPr>
                <w:lang w:val="fr-CH"/>
              </w:rPr>
              <w:t xml:space="preserve"> </w:t>
            </w:r>
            <w:r w:rsidRPr="00492055">
              <w:rPr>
                <w:lang w:val="fr-CH"/>
              </w:rPr>
              <w:t xml:space="preserve">Le présent règlement entre en vigueur dès son approbation par la </w:t>
            </w:r>
            <w:r w:rsidR="00256F71" w:rsidRPr="00256F71">
              <w:rPr>
                <w:lang w:val="fr-CH"/>
              </w:rPr>
              <w:t>Direction du développement territorial, des infrastructures, de la mobilité et de l’environnement</w:t>
            </w:r>
            <w:r w:rsidRPr="00492055">
              <w:rPr>
                <w:lang w:val="fr-CH"/>
              </w:rPr>
              <w:t>.</w:t>
            </w:r>
          </w:p>
        </w:tc>
      </w:tr>
      <w:tr w:rsidR="005D4AA3" w14:paraId="240DC4A0" w14:textId="77777777" w:rsidTr="00492055">
        <w:tc>
          <w:tcPr>
            <w:tcW w:w="9606" w:type="dxa"/>
            <w:gridSpan w:val="3"/>
          </w:tcPr>
          <w:p w14:paraId="255E0C62" w14:textId="77777777" w:rsidR="005D4AA3" w:rsidRPr="00492055" w:rsidRDefault="005D4AA3" w:rsidP="00492055">
            <w:pPr>
              <w:ind w:left="5954" w:hanging="5954"/>
              <w:rPr>
                <w:lang w:val="fr-CH"/>
              </w:rPr>
            </w:pPr>
          </w:p>
        </w:tc>
      </w:tr>
    </w:tbl>
    <w:p w14:paraId="3F3CEA5E" w14:textId="77777777" w:rsidR="00FC12A5" w:rsidRDefault="003616ED" w:rsidP="00551745">
      <w:r>
        <w:t>Adopté par l’assemblée communale / le conseil général du</w:t>
      </w:r>
    </w:p>
    <w:p w14:paraId="1EF7F37D" w14:textId="77777777" w:rsidR="003616ED" w:rsidRDefault="003616ED" w:rsidP="00551745"/>
    <w:p w14:paraId="2944C5FF" w14:textId="77777777" w:rsidR="003616ED" w:rsidRDefault="003616ED" w:rsidP="00551745"/>
    <w:p w14:paraId="4E6C9B55" w14:textId="77777777" w:rsidR="003616ED" w:rsidRDefault="003616ED" w:rsidP="003616ED">
      <w:pPr>
        <w:tabs>
          <w:tab w:val="left" w:pos="5670"/>
        </w:tabs>
      </w:pPr>
      <w:r>
        <w:t>Le(la) Secrétaire :</w:t>
      </w:r>
      <w:r>
        <w:tab/>
        <w:t>Le(la) Syndic(que) :</w:t>
      </w:r>
    </w:p>
    <w:p w14:paraId="378FE199" w14:textId="77777777" w:rsidR="003616ED" w:rsidRDefault="003616ED" w:rsidP="003616ED">
      <w:pPr>
        <w:tabs>
          <w:tab w:val="left" w:pos="5670"/>
        </w:tabs>
      </w:pPr>
      <w:r>
        <w:tab/>
        <w:t>Le(la) Président(e) :</w:t>
      </w:r>
    </w:p>
    <w:p w14:paraId="25CE7CA1" w14:textId="77777777" w:rsidR="003616ED" w:rsidRDefault="003616ED" w:rsidP="003616ED">
      <w:pPr>
        <w:tabs>
          <w:tab w:val="left" w:pos="5670"/>
        </w:tabs>
      </w:pPr>
    </w:p>
    <w:p w14:paraId="7D90025A" w14:textId="77777777" w:rsidR="003616ED" w:rsidRDefault="003616ED" w:rsidP="003616ED">
      <w:pPr>
        <w:tabs>
          <w:tab w:val="left" w:pos="5670"/>
        </w:tabs>
      </w:pPr>
    </w:p>
    <w:p w14:paraId="18B73D0B" w14:textId="77777777" w:rsidR="003616ED" w:rsidRDefault="003616ED" w:rsidP="003616ED">
      <w:pPr>
        <w:tabs>
          <w:tab w:val="left" w:pos="5670"/>
        </w:tabs>
      </w:pPr>
    </w:p>
    <w:p w14:paraId="48AD9CB2" w14:textId="77777777" w:rsidR="003616ED" w:rsidRDefault="003616ED" w:rsidP="003616ED">
      <w:pPr>
        <w:tabs>
          <w:tab w:val="left" w:pos="5670"/>
        </w:tabs>
      </w:pPr>
    </w:p>
    <w:p w14:paraId="4761405D" w14:textId="77777777" w:rsidR="003616ED" w:rsidRDefault="003616ED" w:rsidP="003616ED">
      <w:pPr>
        <w:tabs>
          <w:tab w:val="left" w:pos="5670"/>
        </w:tabs>
      </w:pPr>
    </w:p>
    <w:p w14:paraId="78EF189B" w14:textId="308FF477" w:rsidR="003616ED" w:rsidRDefault="003616ED" w:rsidP="003616ED">
      <w:pPr>
        <w:tabs>
          <w:tab w:val="left" w:pos="5670"/>
        </w:tabs>
      </w:pPr>
      <w:r>
        <w:t xml:space="preserve">Approuvé par la </w:t>
      </w:r>
      <w:r w:rsidR="00256F71" w:rsidRPr="00256F71">
        <w:t>Direction du développement territorial, des infrastructures, de la mobilité et de l’environnement</w:t>
      </w:r>
      <w:r w:rsidR="00EE4150">
        <w:t>,</w:t>
      </w:r>
    </w:p>
    <w:p w14:paraId="078FF6EF" w14:textId="77777777" w:rsidR="003616ED" w:rsidRDefault="00EE4150" w:rsidP="003616ED">
      <w:pPr>
        <w:tabs>
          <w:tab w:val="left" w:pos="5670"/>
        </w:tabs>
      </w:pPr>
      <w:proofErr w:type="gramStart"/>
      <w:r>
        <w:t>le</w:t>
      </w:r>
      <w:proofErr w:type="gramEnd"/>
      <w:r>
        <w:t xml:space="preserve">, </w:t>
      </w:r>
    </w:p>
    <w:p w14:paraId="3900F5C8" w14:textId="77777777" w:rsidR="003616ED" w:rsidRDefault="003616ED" w:rsidP="003616ED">
      <w:pPr>
        <w:tabs>
          <w:tab w:val="left" w:pos="5670"/>
        </w:tabs>
      </w:pPr>
    </w:p>
    <w:p w14:paraId="74E1D404" w14:textId="77777777" w:rsidR="003616ED" w:rsidRDefault="003616ED" w:rsidP="003616ED">
      <w:pPr>
        <w:tabs>
          <w:tab w:val="left" w:pos="5670"/>
        </w:tabs>
      </w:pPr>
    </w:p>
    <w:p w14:paraId="168F9FE8" w14:textId="77777777" w:rsidR="003616ED" w:rsidRDefault="003616ED" w:rsidP="003616ED">
      <w:pPr>
        <w:tabs>
          <w:tab w:val="left" w:pos="5670"/>
        </w:tabs>
      </w:pPr>
    </w:p>
    <w:p w14:paraId="1EF643E7" w14:textId="77777777" w:rsidR="00EE4150" w:rsidRDefault="00EE4150" w:rsidP="003616ED">
      <w:pPr>
        <w:tabs>
          <w:tab w:val="left" w:pos="5670"/>
        </w:tabs>
      </w:pPr>
    </w:p>
    <w:p w14:paraId="70D2463D" w14:textId="77777777" w:rsidR="008602D3" w:rsidRDefault="00DD78C1" w:rsidP="00DD78C1">
      <w:pPr>
        <w:tabs>
          <w:tab w:val="left" w:pos="5670"/>
        </w:tabs>
        <w:ind w:left="5670"/>
        <w:jc w:val="left"/>
      </w:pPr>
      <w:r w:rsidRPr="00DD78C1">
        <w:t>Le/la Conseiller/</w:t>
      </w:r>
      <w:r w:rsidR="008602D3">
        <w:t>-</w:t>
      </w:r>
      <w:r w:rsidRPr="00DD78C1">
        <w:t>ère d’Etat,</w:t>
      </w:r>
    </w:p>
    <w:p w14:paraId="6897A65E" w14:textId="4392C667" w:rsidR="00EE4150" w:rsidRPr="00D84A94" w:rsidRDefault="00DD78C1" w:rsidP="00DD78C1">
      <w:pPr>
        <w:tabs>
          <w:tab w:val="left" w:pos="5670"/>
        </w:tabs>
        <w:ind w:left="5670"/>
        <w:jc w:val="left"/>
      </w:pPr>
      <w:r w:rsidRPr="00DD78C1">
        <w:t>Directeur/</w:t>
      </w:r>
      <w:r w:rsidR="008602D3">
        <w:t>-</w:t>
      </w:r>
      <w:proofErr w:type="spellStart"/>
      <w:r w:rsidRPr="00DD78C1">
        <w:t>trice</w:t>
      </w:r>
      <w:proofErr w:type="spellEnd"/>
    </w:p>
    <w:sectPr w:rsidR="00EE4150" w:rsidRPr="00D84A94" w:rsidSect="004B2E69">
      <w:type w:val="continuous"/>
      <w:pgSz w:w="11907" w:h="16840" w:code="9"/>
      <w:pgMar w:top="1418" w:right="1134" w:bottom="709" w:left="1418" w:header="1134" w:footer="4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F80A" w14:textId="77777777" w:rsidR="00CB619D" w:rsidRDefault="00CB619D" w:rsidP="00401FB8">
      <w:pPr>
        <w:pStyle w:val="berschrift1"/>
      </w:pPr>
      <w:r>
        <w:separator/>
      </w:r>
    </w:p>
  </w:endnote>
  <w:endnote w:type="continuationSeparator" w:id="0">
    <w:p w14:paraId="3030EBC5" w14:textId="77777777" w:rsidR="00CB619D" w:rsidRDefault="00CB619D" w:rsidP="00401FB8">
      <w:pPr>
        <w:pStyle w:val="berschrift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06"/>
    </w:tblGrid>
    <w:tr w:rsidR="006668E6" w14:paraId="3C5BAFE6" w14:textId="77777777" w:rsidTr="00492055">
      <w:tc>
        <w:tcPr>
          <w:tcW w:w="9606" w:type="dxa"/>
          <w:tcBorders>
            <w:top w:val="nil"/>
            <w:bottom w:val="single" w:sz="4" w:space="0" w:color="auto"/>
          </w:tcBorders>
        </w:tcPr>
        <w:p w14:paraId="481A848B" w14:textId="77777777" w:rsidR="006668E6" w:rsidRDefault="006668E6">
          <w:pPr>
            <w:pStyle w:val="Fuzeile"/>
          </w:pPr>
        </w:p>
      </w:tc>
    </w:tr>
    <w:tr w:rsidR="006668E6" w14:paraId="24935E9C" w14:textId="77777777" w:rsidTr="00492055">
      <w:tc>
        <w:tcPr>
          <w:tcW w:w="9606" w:type="dxa"/>
          <w:tcBorders>
            <w:top w:val="single" w:sz="4" w:space="0" w:color="auto"/>
          </w:tcBorders>
        </w:tcPr>
        <w:p w14:paraId="2477D782" w14:textId="77777777" w:rsidR="006668E6" w:rsidRDefault="006668E6">
          <w:pPr>
            <w:pStyle w:val="Fuzeile"/>
          </w:pPr>
          <w:r>
            <w:t>Mise à jour du 25 juin 2014</w:t>
          </w:r>
        </w:p>
      </w:tc>
    </w:tr>
  </w:tbl>
  <w:p w14:paraId="44A14BFB" w14:textId="77777777" w:rsidR="006668E6" w:rsidRDefault="006668E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606"/>
    </w:tblGrid>
    <w:tr w:rsidR="006668E6" w:rsidRPr="00492055" w14:paraId="69059EAC" w14:textId="77777777" w:rsidTr="00492055">
      <w:tc>
        <w:tcPr>
          <w:tcW w:w="9606" w:type="dxa"/>
        </w:tcPr>
        <w:p w14:paraId="6629B4B0" w14:textId="657EFB40" w:rsidR="006668E6" w:rsidRPr="00492055" w:rsidRDefault="006668E6" w:rsidP="000A7953">
          <w:pPr>
            <w:pStyle w:val="Fuzeile"/>
            <w:rPr>
              <w:rFonts w:ascii="Cambria" w:hAnsi="Cambria"/>
              <w:sz w:val="20"/>
              <w:szCs w:val="20"/>
            </w:rPr>
          </w:pPr>
          <w:r w:rsidRPr="00256F71">
            <w:rPr>
              <w:rFonts w:ascii="Cambria" w:hAnsi="Cambria"/>
              <w:sz w:val="20"/>
              <w:szCs w:val="20"/>
            </w:rPr>
            <w:t>M</w:t>
          </w:r>
          <w:r w:rsidR="0032030C" w:rsidRPr="00256F71">
            <w:rPr>
              <w:rFonts w:ascii="Cambria" w:hAnsi="Cambria"/>
              <w:sz w:val="20"/>
              <w:szCs w:val="20"/>
            </w:rPr>
            <w:t xml:space="preserve">ise à jour du </w:t>
          </w:r>
          <w:r w:rsidR="00256F71" w:rsidRPr="00256F71">
            <w:rPr>
              <w:rFonts w:ascii="Cambria" w:hAnsi="Cambria"/>
              <w:sz w:val="20"/>
              <w:szCs w:val="20"/>
            </w:rPr>
            <w:t>31</w:t>
          </w:r>
          <w:r w:rsidR="00AF71E1" w:rsidRPr="00256F71">
            <w:rPr>
              <w:rFonts w:ascii="Cambria" w:hAnsi="Cambria"/>
              <w:sz w:val="20"/>
              <w:szCs w:val="20"/>
            </w:rPr>
            <w:t xml:space="preserve"> </w:t>
          </w:r>
          <w:r w:rsidR="00256F71" w:rsidRPr="00256F71">
            <w:rPr>
              <w:rFonts w:ascii="Cambria" w:hAnsi="Cambria"/>
              <w:sz w:val="20"/>
              <w:szCs w:val="20"/>
            </w:rPr>
            <w:t>mai 2023</w:t>
          </w:r>
        </w:p>
      </w:tc>
    </w:tr>
  </w:tbl>
  <w:p w14:paraId="17A52B6A" w14:textId="77777777" w:rsidR="006668E6" w:rsidRDefault="006668E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06"/>
    </w:tblGrid>
    <w:tr w:rsidR="006668E6" w14:paraId="7A52A2CE" w14:textId="77777777" w:rsidTr="00492055">
      <w:tc>
        <w:tcPr>
          <w:tcW w:w="9606" w:type="dxa"/>
          <w:tcBorders>
            <w:top w:val="nil"/>
            <w:bottom w:val="single" w:sz="4" w:space="0" w:color="auto"/>
          </w:tcBorders>
        </w:tcPr>
        <w:p w14:paraId="4EED2288" w14:textId="77777777" w:rsidR="006668E6" w:rsidRPr="004F54BF" w:rsidRDefault="006668E6" w:rsidP="00D760EA">
          <w:pPr>
            <w:pStyle w:val="Fuzeile"/>
          </w:pPr>
        </w:p>
      </w:tc>
    </w:tr>
    <w:tr w:rsidR="006668E6" w:rsidRPr="00492055" w14:paraId="65A51C9F" w14:textId="77777777" w:rsidTr="00492055">
      <w:tc>
        <w:tcPr>
          <w:tcW w:w="9606" w:type="dxa"/>
          <w:tcBorders>
            <w:top w:val="single" w:sz="4" w:space="0" w:color="auto"/>
          </w:tcBorders>
        </w:tcPr>
        <w:p w14:paraId="4F3CAC26" w14:textId="5AAC9213" w:rsidR="006668E6" w:rsidRPr="00492055" w:rsidRDefault="006668E6" w:rsidP="000A7953">
          <w:pPr>
            <w:pStyle w:val="Fuzeile"/>
            <w:rPr>
              <w:rFonts w:ascii="Cambria" w:hAnsi="Cambria"/>
              <w:sz w:val="20"/>
              <w:szCs w:val="20"/>
            </w:rPr>
          </w:pPr>
          <w:r w:rsidRPr="00256F71">
            <w:rPr>
              <w:rFonts w:ascii="Cambria" w:hAnsi="Cambria"/>
              <w:sz w:val="20"/>
              <w:szCs w:val="20"/>
            </w:rPr>
            <w:t xml:space="preserve">Mise à jour du </w:t>
          </w:r>
          <w:r w:rsidR="00256F71" w:rsidRPr="00256F71">
            <w:rPr>
              <w:rFonts w:ascii="Cambria" w:hAnsi="Cambria"/>
              <w:sz w:val="20"/>
              <w:szCs w:val="20"/>
            </w:rPr>
            <w:t>31</w:t>
          </w:r>
          <w:r w:rsidRPr="00256F71">
            <w:rPr>
              <w:rFonts w:ascii="Cambria" w:hAnsi="Cambria"/>
              <w:sz w:val="20"/>
              <w:szCs w:val="20"/>
            </w:rPr>
            <w:t xml:space="preserve"> </w:t>
          </w:r>
          <w:r w:rsidR="00256F71" w:rsidRPr="00256F71">
            <w:rPr>
              <w:rFonts w:ascii="Cambria" w:hAnsi="Cambria"/>
              <w:sz w:val="20"/>
              <w:szCs w:val="20"/>
            </w:rPr>
            <w:t>mai</w:t>
          </w:r>
          <w:r w:rsidRPr="00256F71">
            <w:rPr>
              <w:rFonts w:ascii="Cambria" w:hAnsi="Cambria"/>
              <w:sz w:val="20"/>
              <w:szCs w:val="20"/>
            </w:rPr>
            <w:t xml:space="preserve"> 20</w:t>
          </w:r>
          <w:r w:rsidR="00E534BC" w:rsidRPr="00256F71">
            <w:rPr>
              <w:rFonts w:ascii="Cambria" w:hAnsi="Cambria"/>
              <w:sz w:val="20"/>
              <w:szCs w:val="20"/>
            </w:rPr>
            <w:t>2</w:t>
          </w:r>
          <w:r w:rsidR="00256F71" w:rsidRPr="00256F71">
            <w:rPr>
              <w:rFonts w:ascii="Cambria" w:hAnsi="Cambria"/>
              <w:sz w:val="20"/>
              <w:szCs w:val="20"/>
            </w:rPr>
            <w:t>3</w:t>
          </w:r>
        </w:p>
      </w:tc>
    </w:tr>
  </w:tbl>
  <w:p w14:paraId="0A47F268" w14:textId="77777777" w:rsidR="006668E6" w:rsidRDefault="006668E6" w:rsidP="00C244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5FDC" w14:textId="77777777" w:rsidR="00CB619D" w:rsidRDefault="00CB619D" w:rsidP="00401FB8">
      <w:pPr>
        <w:pStyle w:val="berschrift1"/>
      </w:pPr>
      <w:r>
        <w:separator/>
      </w:r>
    </w:p>
  </w:footnote>
  <w:footnote w:type="continuationSeparator" w:id="0">
    <w:p w14:paraId="0AE4F81A" w14:textId="77777777" w:rsidR="00CB619D" w:rsidRDefault="00CB619D" w:rsidP="00401FB8">
      <w:pPr>
        <w:pStyle w:val="berschrift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F529" w14:textId="77777777" w:rsidR="006668E6" w:rsidRDefault="006668E6" w:rsidP="000A2CB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43CD819" w14:textId="77777777" w:rsidR="006668E6" w:rsidRDefault="006668E6" w:rsidP="000A2CBA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5353" w14:textId="77777777" w:rsidR="006668E6" w:rsidRDefault="006668E6" w:rsidP="000A2CB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A6B5F03" w14:textId="77777777" w:rsidR="006668E6" w:rsidRDefault="006668E6" w:rsidP="000A2CBA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8AEB" w14:textId="77777777" w:rsidR="006668E6" w:rsidRDefault="006668E6" w:rsidP="000A2CB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2496E">
      <w:rPr>
        <w:rStyle w:val="Seitenzahl"/>
        <w:noProof/>
      </w:rPr>
      <w:t>2</w:t>
    </w:r>
    <w:r>
      <w:rPr>
        <w:rStyle w:val="Seitenzahl"/>
      </w:rPr>
      <w:fldChar w:fldCharType="end"/>
    </w:r>
  </w:p>
  <w:p w14:paraId="344F4797" w14:textId="77777777" w:rsidR="006668E6" w:rsidRDefault="006668E6" w:rsidP="000A2CBA">
    <w:pPr>
      <w:pStyle w:val="Kopfzeil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E20"/>
    <w:rsid w:val="000139D5"/>
    <w:rsid w:val="00046F3B"/>
    <w:rsid w:val="00057E50"/>
    <w:rsid w:val="00090C0F"/>
    <w:rsid w:val="000A2CBA"/>
    <w:rsid w:val="000A31EE"/>
    <w:rsid w:val="000A3E19"/>
    <w:rsid w:val="000A7953"/>
    <w:rsid w:val="000B7AC3"/>
    <w:rsid w:val="00100FA2"/>
    <w:rsid w:val="001019B3"/>
    <w:rsid w:val="00110D5D"/>
    <w:rsid w:val="00140550"/>
    <w:rsid w:val="001528D1"/>
    <w:rsid w:val="001834DB"/>
    <w:rsid w:val="001A49B0"/>
    <w:rsid w:val="001C2204"/>
    <w:rsid w:val="001D6134"/>
    <w:rsid w:val="001E59DA"/>
    <w:rsid w:val="001E7774"/>
    <w:rsid w:val="002500C6"/>
    <w:rsid w:val="00256F71"/>
    <w:rsid w:val="00257988"/>
    <w:rsid w:val="002606A8"/>
    <w:rsid w:val="00264399"/>
    <w:rsid w:val="0027606F"/>
    <w:rsid w:val="00277F9B"/>
    <w:rsid w:val="00283A38"/>
    <w:rsid w:val="00285AF3"/>
    <w:rsid w:val="0029067F"/>
    <w:rsid w:val="002A0351"/>
    <w:rsid w:val="002E0778"/>
    <w:rsid w:val="003163A0"/>
    <w:rsid w:val="0032030C"/>
    <w:rsid w:val="003616ED"/>
    <w:rsid w:val="00370F31"/>
    <w:rsid w:val="00377825"/>
    <w:rsid w:val="003A220F"/>
    <w:rsid w:val="003A3D92"/>
    <w:rsid w:val="003A5357"/>
    <w:rsid w:val="003B6170"/>
    <w:rsid w:val="003C6424"/>
    <w:rsid w:val="00401FB8"/>
    <w:rsid w:val="004044B9"/>
    <w:rsid w:val="00410783"/>
    <w:rsid w:val="00445C33"/>
    <w:rsid w:val="0048052B"/>
    <w:rsid w:val="00492055"/>
    <w:rsid w:val="004A54EE"/>
    <w:rsid w:val="004B266D"/>
    <w:rsid w:val="004B2E69"/>
    <w:rsid w:val="004B3CA1"/>
    <w:rsid w:val="004C56B8"/>
    <w:rsid w:val="004E1E86"/>
    <w:rsid w:val="004F54BF"/>
    <w:rsid w:val="00500350"/>
    <w:rsid w:val="00521C98"/>
    <w:rsid w:val="00543284"/>
    <w:rsid w:val="005474DB"/>
    <w:rsid w:val="005505A4"/>
    <w:rsid w:val="00551745"/>
    <w:rsid w:val="005735BB"/>
    <w:rsid w:val="00586402"/>
    <w:rsid w:val="005A115F"/>
    <w:rsid w:val="005C63B7"/>
    <w:rsid w:val="005D4AA3"/>
    <w:rsid w:val="00614C09"/>
    <w:rsid w:val="0061743C"/>
    <w:rsid w:val="0062398D"/>
    <w:rsid w:val="006321EE"/>
    <w:rsid w:val="006407C0"/>
    <w:rsid w:val="00641F14"/>
    <w:rsid w:val="0065096D"/>
    <w:rsid w:val="00661A83"/>
    <w:rsid w:val="006668E6"/>
    <w:rsid w:val="0068175A"/>
    <w:rsid w:val="00683639"/>
    <w:rsid w:val="00684E62"/>
    <w:rsid w:val="006E3773"/>
    <w:rsid w:val="006E58B6"/>
    <w:rsid w:val="006F00BF"/>
    <w:rsid w:val="006F5CB8"/>
    <w:rsid w:val="007018F0"/>
    <w:rsid w:val="00704471"/>
    <w:rsid w:val="00716912"/>
    <w:rsid w:val="007259C5"/>
    <w:rsid w:val="00727AFA"/>
    <w:rsid w:val="00730B26"/>
    <w:rsid w:val="0074598C"/>
    <w:rsid w:val="007767A7"/>
    <w:rsid w:val="00786925"/>
    <w:rsid w:val="007B0756"/>
    <w:rsid w:val="007E51AB"/>
    <w:rsid w:val="007F79DB"/>
    <w:rsid w:val="00806667"/>
    <w:rsid w:val="00823146"/>
    <w:rsid w:val="00847CE1"/>
    <w:rsid w:val="00852492"/>
    <w:rsid w:val="00855379"/>
    <w:rsid w:val="008602D3"/>
    <w:rsid w:val="00870A84"/>
    <w:rsid w:val="008B4708"/>
    <w:rsid w:val="008C1A5B"/>
    <w:rsid w:val="008C5FA4"/>
    <w:rsid w:val="008F5C60"/>
    <w:rsid w:val="00910FF3"/>
    <w:rsid w:val="009248BA"/>
    <w:rsid w:val="0093447D"/>
    <w:rsid w:val="009438FD"/>
    <w:rsid w:val="00964B9D"/>
    <w:rsid w:val="00964CCD"/>
    <w:rsid w:val="0096711C"/>
    <w:rsid w:val="0097676C"/>
    <w:rsid w:val="0099113B"/>
    <w:rsid w:val="00993F22"/>
    <w:rsid w:val="00994AED"/>
    <w:rsid w:val="00997C98"/>
    <w:rsid w:val="009B4984"/>
    <w:rsid w:val="009C1D2F"/>
    <w:rsid w:val="009E59B5"/>
    <w:rsid w:val="00A10BB9"/>
    <w:rsid w:val="00A4767F"/>
    <w:rsid w:val="00A65E20"/>
    <w:rsid w:val="00A80610"/>
    <w:rsid w:val="00A8760A"/>
    <w:rsid w:val="00AB2469"/>
    <w:rsid w:val="00AF71E1"/>
    <w:rsid w:val="00B02AAB"/>
    <w:rsid w:val="00B25BC9"/>
    <w:rsid w:val="00B44972"/>
    <w:rsid w:val="00B83E66"/>
    <w:rsid w:val="00B9286F"/>
    <w:rsid w:val="00B94268"/>
    <w:rsid w:val="00BC2528"/>
    <w:rsid w:val="00BC3D34"/>
    <w:rsid w:val="00BE043A"/>
    <w:rsid w:val="00BE16B6"/>
    <w:rsid w:val="00BF2216"/>
    <w:rsid w:val="00BF52B9"/>
    <w:rsid w:val="00C055C7"/>
    <w:rsid w:val="00C13A80"/>
    <w:rsid w:val="00C21698"/>
    <w:rsid w:val="00C2443F"/>
    <w:rsid w:val="00C424CB"/>
    <w:rsid w:val="00C45823"/>
    <w:rsid w:val="00C464D6"/>
    <w:rsid w:val="00C4764D"/>
    <w:rsid w:val="00C51613"/>
    <w:rsid w:val="00C67E27"/>
    <w:rsid w:val="00C7707B"/>
    <w:rsid w:val="00C8585C"/>
    <w:rsid w:val="00CA3D41"/>
    <w:rsid w:val="00CA68F3"/>
    <w:rsid w:val="00CB619D"/>
    <w:rsid w:val="00CE69A4"/>
    <w:rsid w:val="00CE7EBC"/>
    <w:rsid w:val="00CF162E"/>
    <w:rsid w:val="00D01BC6"/>
    <w:rsid w:val="00D111B2"/>
    <w:rsid w:val="00D258B0"/>
    <w:rsid w:val="00D30115"/>
    <w:rsid w:val="00D33ACF"/>
    <w:rsid w:val="00D53D49"/>
    <w:rsid w:val="00D760EA"/>
    <w:rsid w:val="00D76FE8"/>
    <w:rsid w:val="00D82836"/>
    <w:rsid w:val="00D84A94"/>
    <w:rsid w:val="00D9545B"/>
    <w:rsid w:val="00DB0E35"/>
    <w:rsid w:val="00DC2CB5"/>
    <w:rsid w:val="00DD78C1"/>
    <w:rsid w:val="00DE6BD9"/>
    <w:rsid w:val="00DF6F77"/>
    <w:rsid w:val="00DF7C8F"/>
    <w:rsid w:val="00E02024"/>
    <w:rsid w:val="00E207DA"/>
    <w:rsid w:val="00E23573"/>
    <w:rsid w:val="00E534BC"/>
    <w:rsid w:val="00E546D6"/>
    <w:rsid w:val="00E649B6"/>
    <w:rsid w:val="00E66BD8"/>
    <w:rsid w:val="00E715BA"/>
    <w:rsid w:val="00E91B55"/>
    <w:rsid w:val="00ED048C"/>
    <w:rsid w:val="00ED38A6"/>
    <w:rsid w:val="00ED5B0C"/>
    <w:rsid w:val="00EE3DF9"/>
    <w:rsid w:val="00EE4150"/>
    <w:rsid w:val="00F2496E"/>
    <w:rsid w:val="00F31EE6"/>
    <w:rsid w:val="00F33261"/>
    <w:rsid w:val="00F5502B"/>
    <w:rsid w:val="00F635F2"/>
    <w:rsid w:val="00F942E8"/>
    <w:rsid w:val="00F96D66"/>
    <w:rsid w:val="00FB6D03"/>
    <w:rsid w:val="00FC12A5"/>
    <w:rsid w:val="00FD1CA3"/>
    <w:rsid w:val="00FE1EC8"/>
    <w:rsid w:val="00FF2CFE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FC0628F"/>
  <w15:docId w15:val="{07BDB21F-A993-45F0-9E1F-1250A57E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B266D"/>
    <w:pPr>
      <w:jc w:val="both"/>
    </w:pPr>
    <w:rPr>
      <w:rFonts w:ascii="Arial" w:hAnsi="Arial" w:cs="Arial"/>
      <w:spacing w:val="-2"/>
      <w:sz w:val="22"/>
      <w:szCs w:val="22"/>
      <w:lang w:val="fr-FR" w:eastAsia="en-US"/>
    </w:rPr>
  </w:style>
  <w:style w:type="paragraph" w:styleId="berschrift1">
    <w:name w:val="heading 1"/>
    <w:basedOn w:val="Standard"/>
    <w:next w:val="Standard"/>
    <w:qFormat/>
    <w:rsid w:val="00A65E20"/>
    <w:pPr>
      <w:keepNext/>
      <w:jc w:val="center"/>
      <w:outlineLvl w:val="0"/>
    </w:pPr>
    <w:rPr>
      <w:b/>
      <w:color w:val="000000"/>
      <w:spacing w:val="0"/>
      <w:sz w:val="40"/>
      <w:szCs w:val="40"/>
      <w:lang w:val="en-US"/>
    </w:rPr>
  </w:style>
  <w:style w:type="paragraph" w:styleId="berschrift3">
    <w:name w:val="heading 3"/>
    <w:basedOn w:val="Standard"/>
    <w:next w:val="Standard"/>
    <w:qFormat/>
    <w:rsid w:val="00A4767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4"/>
      <w:lang w:val="fr-FR" w:eastAsia="en-US"/>
    </w:rPr>
  </w:style>
  <w:style w:type="paragraph" w:customStyle="1" w:styleId="Style1">
    <w:name w:val="Style1"/>
    <w:basedOn w:val="Standard"/>
    <w:rsid w:val="00057E50"/>
  </w:style>
  <w:style w:type="table" w:styleId="Tabellenraster">
    <w:name w:val="Table Grid"/>
    <w:basedOn w:val="NormaleTabelle"/>
    <w:rsid w:val="00A65E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rsid w:val="00A65E20"/>
    <w:pPr>
      <w:ind w:left="284" w:hanging="284"/>
    </w:pPr>
    <w:rPr>
      <w:color w:val="000000"/>
      <w:spacing w:val="0"/>
      <w:lang w:val="en-US"/>
    </w:rPr>
  </w:style>
  <w:style w:type="paragraph" w:styleId="Textkrper2">
    <w:name w:val="Body Text 2"/>
    <w:basedOn w:val="Standard"/>
    <w:rsid w:val="00A65E20"/>
    <w:pPr>
      <w:spacing w:after="120" w:line="480" w:lineRule="auto"/>
    </w:pPr>
  </w:style>
  <w:style w:type="paragraph" w:styleId="Textkrper-Einzug2">
    <w:name w:val="Body Text Indent 2"/>
    <w:basedOn w:val="Standard"/>
    <w:rsid w:val="0099113B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99113B"/>
    <w:pPr>
      <w:spacing w:after="120"/>
      <w:ind w:left="283"/>
    </w:pPr>
    <w:rPr>
      <w:sz w:val="16"/>
      <w:szCs w:val="16"/>
    </w:rPr>
  </w:style>
  <w:style w:type="paragraph" w:styleId="Kopfzeile">
    <w:name w:val="header"/>
    <w:basedOn w:val="Standard"/>
    <w:rsid w:val="000A2CB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2CBA"/>
  </w:style>
  <w:style w:type="paragraph" w:styleId="Sprechblasentext">
    <w:name w:val="Balloon Text"/>
    <w:basedOn w:val="Standard"/>
    <w:semiHidden/>
    <w:rsid w:val="00FC12A5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BE043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74A2A-383A-473E-82BD-604AECBB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Planungs- und Baureglement (PBR)</vt:lpstr>
    </vt:vector>
  </TitlesOfParts>
  <Company>Etat de Fribourg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Planungs- und Baureglement (PBR)</dc:title>
  <dc:creator>Jacqueline Aebischer</dc:creator>
  <cp:lastModifiedBy>Sterren Marianne</cp:lastModifiedBy>
  <cp:revision>12</cp:revision>
  <cp:lastPrinted>2011-02-07T06:25:00Z</cp:lastPrinted>
  <dcterms:created xsi:type="dcterms:W3CDTF">2021-09-03T08:19:00Z</dcterms:created>
  <dcterms:modified xsi:type="dcterms:W3CDTF">2023-05-31T12:15:00Z</dcterms:modified>
</cp:coreProperties>
</file>